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C4F97" w14:textId="49359923" w:rsidR="0095705F" w:rsidRPr="0095705F" w:rsidRDefault="0095705F" w:rsidP="00F0717A">
      <w:pPr>
        <w:spacing w:line="480" w:lineRule="auto"/>
        <w:ind w:firstLine="720"/>
        <w:jc w:val="both"/>
        <w:rPr>
          <w:rFonts w:eastAsia="Calibri"/>
          <w:b/>
          <w:lang w:val="es-MX"/>
        </w:rPr>
      </w:pPr>
      <w:bookmarkStart w:id="0" w:name="_GoBack"/>
      <w:bookmarkEnd w:id="0"/>
      <w:r>
        <w:rPr>
          <w:rFonts w:eastAsia="Calibri"/>
          <w:b/>
          <w:lang w:val="es-MX"/>
        </w:rPr>
        <w:t>¿</w:t>
      </w:r>
      <w:r w:rsidRPr="0095705F">
        <w:rPr>
          <w:rFonts w:eastAsia="Calibri"/>
          <w:b/>
          <w:lang w:val="es-MX"/>
        </w:rPr>
        <w:t xml:space="preserve">Cuál es su </w:t>
      </w:r>
      <w:r w:rsidR="0027739D">
        <w:rPr>
          <w:rFonts w:eastAsia="Calibri"/>
          <w:b/>
          <w:lang w:val="es-MX"/>
        </w:rPr>
        <w:t>estatus</w:t>
      </w:r>
      <w:r w:rsidRPr="0095705F">
        <w:rPr>
          <w:rFonts w:eastAsia="Calibri"/>
          <w:b/>
          <w:lang w:val="es-MX"/>
        </w:rPr>
        <w:t xml:space="preserve"> de ciudadanía? </w:t>
      </w:r>
      <w:r w:rsidR="0027739D">
        <w:rPr>
          <w:rFonts w:eastAsia="Calibri"/>
          <w:b/>
          <w:lang w:val="es-MX"/>
        </w:rPr>
        <w:t>Perfil</w:t>
      </w:r>
      <w:r>
        <w:rPr>
          <w:rFonts w:eastAsia="Calibri"/>
          <w:b/>
          <w:lang w:val="es-MX"/>
        </w:rPr>
        <w:t xml:space="preserve"> racial y</w:t>
      </w:r>
      <w:r w:rsidR="00533A5A">
        <w:rPr>
          <w:rFonts w:eastAsia="Calibri"/>
          <w:b/>
          <w:lang w:val="es-MX"/>
        </w:rPr>
        <w:t xml:space="preserve"> de ciudadanía</w:t>
      </w:r>
      <w:r w:rsidR="00CC3300">
        <w:rPr>
          <w:rFonts w:eastAsia="Calibri"/>
          <w:b/>
          <w:lang w:val="es-MX"/>
        </w:rPr>
        <w:t xml:space="preserve"> por</w:t>
      </w:r>
      <w:r w:rsidR="00B53873">
        <w:rPr>
          <w:rFonts w:eastAsia="Calibri"/>
          <w:b/>
          <w:lang w:val="es-MX"/>
        </w:rPr>
        <w:t xml:space="preserve"> parte de</w:t>
      </w:r>
      <w:r w:rsidR="00CC3300">
        <w:rPr>
          <w:rFonts w:eastAsia="Calibri"/>
          <w:b/>
          <w:lang w:val="es-MX"/>
        </w:rPr>
        <w:t xml:space="preserve"> la</w:t>
      </w:r>
      <w:r w:rsidR="00B53873">
        <w:rPr>
          <w:rFonts w:eastAsia="Calibri"/>
          <w:b/>
          <w:lang w:val="es-MX"/>
        </w:rPr>
        <w:t>s</w:t>
      </w:r>
      <w:r w:rsidR="00CC3300">
        <w:rPr>
          <w:rFonts w:eastAsia="Calibri"/>
          <w:b/>
          <w:lang w:val="es-MX"/>
        </w:rPr>
        <w:t xml:space="preserve"> </w:t>
      </w:r>
      <w:r w:rsidR="00B53873">
        <w:rPr>
          <w:rFonts w:eastAsia="Calibri"/>
          <w:b/>
          <w:lang w:val="es-MX"/>
        </w:rPr>
        <w:t xml:space="preserve">agencias </w:t>
      </w:r>
      <w:r w:rsidR="008632E6">
        <w:rPr>
          <w:rFonts w:eastAsia="Calibri"/>
          <w:b/>
          <w:lang w:val="es-MX"/>
        </w:rPr>
        <w:t xml:space="preserve">policiacas </w:t>
      </w:r>
      <w:r w:rsidR="00CC3300">
        <w:rPr>
          <w:rFonts w:eastAsia="Calibri"/>
          <w:b/>
          <w:lang w:val="es-MX"/>
        </w:rPr>
        <w:t>a l</w:t>
      </w:r>
      <w:r w:rsidR="00B53873">
        <w:rPr>
          <w:rFonts w:eastAsia="Calibri"/>
          <w:b/>
          <w:lang w:val="es-MX"/>
        </w:rPr>
        <w:t xml:space="preserve">o largo de la frontera </w:t>
      </w:r>
      <w:r w:rsidR="00CC3300">
        <w:rPr>
          <w:rFonts w:eastAsia="Calibri"/>
          <w:b/>
          <w:lang w:val="es-MX"/>
        </w:rPr>
        <w:t>Estados Unidos</w:t>
      </w:r>
      <w:r w:rsidR="00B53873">
        <w:rPr>
          <w:rFonts w:eastAsia="Calibri"/>
          <w:b/>
          <w:lang w:val="es-MX"/>
        </w:rPr>
        <w:t xml:space="preserve">-México </w:t>
      </w:r>
    </w:p>
    <w:p w14:paraId="1B50381D" w14:textId="77777777" w:rsidR="00067B02" w:rsidRPr="0095705F" w:rsidRDefault="00067B02" w:rsidP="00F0717A">
      <w:pPr>
        <w:spacing w:line="480" w:lineRule="auto"/>
        <w:ind w:firstLine="720"/>
        <w:jc w:val="both"/>
        <w:rPr>
          <w:rFonts w:eastAsia="Calibri"/>
          <w:b/>
          <w:lang w:val="es-MX"/>
        </w:rPr>
      </w:pPr>
    </w:p>
    <w:p w14:paraId="0C12ED97" w14:textId="77777777" w:rsidR="00067B02" w:rsidRPr="0095705F" w:rsidRDefault="00067B02" w:rsidP="00F0717A">
      <w:pPr>
        <w:spacing w:line="480" w:lineRule="auto"/>
        <w:ind w:firstLine="720"/>
        <w:jc w:val="both"/>
        <w:rPr>
          <w:rFonts w:eastAsia="Calibri"/>
          <w:b/>
          <w:lang w:val="es-MX"/>
        </w:rPr>
      </w:pPr>
    </w:p>
    <w:p w14:paraId="47C0D236" w14:textId="77777777" w:rsidR="00FD0C9B" w:rsidRDefault="00FD0C9B" w:rsidP="00F0717A">
      <w:pPr>
        <w:spacing w:line="480" w:lineRule="auto"/>
        <w:ind w:firstLine="720"/>
        <w:jc w:val="both"/>
        <w:rPr>
          <w:rFonts w:eastAsia="Calibri"/>
          <w:b/>
          <w:lang w:val="es-MX"/>
        </w:rPr>
      </w:pPr>
    </w:p>
    <w:p w14:paraId="59ED9092" w14:textId="77777777" w:rsidR="00533A5A" w:rsidRDefault="00533A5A" w:rsidP="00F0717A">
      <w:pPr>
        <w:spacing w:line="480" w:lineRule="auto"/>
        <w:ind w:firstLine="720"/>
        <w:jc w:val="both"/>
        <w:rPr>
          <w:rFonts w:eastAsia="Calibri"/>
          <w:b/>
          <w:lang w:val="es-MX"/>
        </w:rPr>
      </w:pPr>
    </w:p>
    <w:p w14:paraId="09D01E10" w14:textId="77777777" w:rsidR="00533A5A" w:rsidRDefault="00533A5A" w:rsidP="00F0717A">
      <w:pPr>
        <w:spacing w:line="480" w:lineRule="auto"/>
        <w:ind w:firstLine="720"/>
        <w:jc w:val="both"/>
        <w:rPr>
          <w:rFonts w:eastAsia="Calibri"/>
          <w:b/>
          <w:lang w:val="es-MX"/>
        </w:rPr>
      </w:pPr>
    </w:p>
    <w:p w14:paraId="677A98E2" w14:textId="60B7C765" w:rsidR="00067B02" w:rsidRPr="00584175" w:rsidRDefault="00067B02" w:rsidP="00F0717A">
      <w:pPr>
        <w:spacing w:line="480" w:lineRule="auto"/>
        <w:ind w:firstLine="720"/>
        <w:jc w:val="both"/>
        <w:rPr>
          <w:rFonts w:eastAsia="Calibri"/>
          <w:lang w:val="es-MX"/>
        </w:rPr>
      </w:pPr>
      <w:r w:rsidRPr="00584175">
        <w:rPr>
          <w:rFonts w:eastAsia="Calibri"/>
          <w:lang w:val="es-MX"/>
        </w:rPr>
        <w:t>*</w:t>
      </w:r>
      <w:r w:rsidR="00EA2721" w:rsidRPr="00584175">
        <w:rPr>
          <w:rFonts w:eastAsia="Calibri"/>
          <w:lang w:val="es-MX"/>
        </w:rPr>
        <w:t>María</w:t>
      </w:r>
      <w:r w:rsidRPr="00584175">
        <w:rPr>
          <w:rFonts w:eastAsia="Calibri"/>
          <w:lang w:val="es-MX"/>
        </w:rPr>
        <w:t xml:space="preserve"> Cristina Morales, </w:t>
      </w:r>
      <w:r w:rsidR="00533A5A" w:rsidRPr="00584175">
        <w:rPr>
          <w:rFonts w:eastAsia="Calibri"/>
          <w:lang w:val="es-MX"/>
        </w:rPr>
        <w:t>PhD</w:t>
      </w:r>
    </w:p>
    <w:p w14:paraId="75C1C03A" w14:textId="114DEE70" w:rsidR="00067B02" w:rsidRPr="00584175" w:rsidRDefault="00B53873" w:rsidP="00F0717A">
      <w:pPr>
        <w:spacing w:line="480" w:lineRule="auto"/>
        <w:ind w:firstLine="720"/>
        <w:jc w:val="both"/>
        <w:rPr>
          <w:rFonts w:eastAsia="Calibri"/>
          <w:lang w:val="es-MX"/>
        </w:rPr>
      </w:pPr>
      <w:r>
        <w:rPr>
          <w:rFonts w:eastAsia="Calibri"/>
          <w:lang w:val="es-MX"/>
        </w:rPr>
        <w:t>y</w:t>
      </w:r>
    </w:p>
    <w:p w14:paraId="35EE0B6D" w14:textId="45530175" w:rsidR="00067B02" w:rsidRPr="0027739D" w:rsidRDefault="00067B02" w:rsidP="00F0717A">
      <w:pPr>
        <w:spacing w:line="480" w:lineRule="auto"/>
        <w:ind w:firstLine="720"/>
        <w:jc w:val="both"/>
        <w:rPr>
          <w:rFonts w:eastAsia="Calibri"/>
          <w:lang w:val="es-MX"/>
        </w:rPr>
      </w:pPr>
      <w:r w:rsidRPr="0027739D">
        <w:rPr>
          <w:rFonts w:eastAsia="Calibri"/>
          <w:lang w:val="es-MX"/>
        </w:rPr>
        <w:t>Denise Delgado</w:t>
      </w:r>
    </w:p>
    <w:p w14:paraId="4562AEEC" w14:textId="479DACCF" w:rsidR="009837D6" w:rsidRPr="009837D6" w:rsidRDefault="009837D6" w:rsidP="00F0717A">
      <w:pPr>
        <w:spacing w:line="480" w:lineRule="auto"/>
        <w:ind w:firstLine="720"/>
        <w:jc w:val="both"/>
        <w:rPr>
          <w:rFonts w:eastAsia="Calibri"/>
          <w:lang w:val="es-MX"/>
        </w:rPr>
      </w:pPr>
      <w:r w:rsidRPr="009837D6">
        <w:rPr>
          <w:rFonts w:eastAsia="Calibri"/>
          <w:lang w:val="es-MX"/>
        </w:rPr>
        <w:t xml:space="preserve">Departamento de Sociología y Antropología </w:t>
      </w:r>
    </w:p>
    <w:p w14:paraId="76924079" w14:textId="4CAEA766" w:rsidR="00067B02" w:rsidRPr="009837D6" w:rsidRDefault="009837D6" w:rsidP="00F0717A">
      <w:pPr>
        <w:spacing w:line="480" w:lineRule="auto"/>
        <w:ind w:firstLine="720"/>
        <w:jc w:val="both"/>
        <w:rPr>
          <w:rFonts w:eastAsia="Calibri"/>
          <w:lang w:val="es-MX"/>
        </w:rPr>
      </w:pPr>
      <w:r w:rsidRPr="009837D6">
        <w:rPr>
          <w:rFonts w:eastAsia="Calibri"/>
          <w:lang w:val="es-MX"/>
        </w:rPr>
        <w:t>La Universidad de Texas en El Paso</w:t>
      </w:r>
      <w:r w:rsidR="00067B02" w:rsidRPr="009837D6">
        <w:rPr>
          <w:rFonts w:eastAsia="Calibri"/>
          <w:lang w:val="es-MX"/>
        </w:rPr>
        <w:t xml:space="preserve"> </w:t>
      </w:r>
    </w:p>
    <w:p w14:paraId="501365B2" w14:textId="61FE31E5" w:rsidR="00067B02" w:rsidRPr="009837D6" w:rsidRDefault="00067B02" w:rsidP="00F0717A">
      <w:pPr>
        <w:spacing w:line="480" w:lineRule="auto"/>
        <w:ind w:firstLine="720"/>
        <w:jc w:val="both"/>
        <w:rPr>
          <w:rFonts w:eastAsia="Calibri"/>
          <w:lang w:val="es-MX"/>
        </w:rPr>
      </w:pPr>
    </w:p>
    <w:p w14:paraId="6A8AEFC2" w14:textId="7B2CA4CE" w:rsidR="00067B02" w:rsidRPr="00B02EF2" w:rsidRDefault="00B02EF2" w:rsidP="00F0717A">
      <w:pPr>
        <w:spacing w:line="480" w:lineRule="auto"/>
        <w:ind w:firstLine="720"/>
        <w:jc w:val="both"/>
        <w:rPr>
          <w:rFonts w:eastAsia="Calibri"/>
          <w:b/>
          <w:lang w:val="es-MX"/>
        </w:rPr>
      </w:pPr>
      <w:r w:rsidRPr="00B02EF2">
        <w:rPr>
          <w:rFonts w:eastAsia="Calibri"/>
          <w:b/>
          <w:lang w:val="es-MX"/>
        </w:rPr>
        <w:t xml:space="preserve">Documento de estudios de la frontera, Centro </w:t>
      </w:r>
      <w:r w:rsidR="00533A5A">
        <w:rPr>
          <w:rFonts w:eastAsia="Calibri"/>
          <w:b/>
          <w:lang w:val="es-MX"/>
        </w:rPr>
        <w:t>de</w:t>
      </w:r>
      <w:r w:rsidRPr="00B02EF2">
        <w:rPr>
          <w:rFonts w:eastAsia="Calibri"/>
          <w:b/>
          <w:lang w:val="es-MX"/>
        </w:rPr>
        <w:t xml:space="preserve"> estudios </w:t>
      </w:r>
      <w:r w:rsidR="00533A5A">
        <w:rPr>
          <w:rFonts w:eastAsia="Calibri"/>
          <w:b/>
          <w:lang w:val="es-MX"/>
        </w:rPr>
        <w:t>intera</w:t>
      </w:r>
      <w:r w:rsidRPr="00B02EF2">
        <w:rPr>
          <w:rFonts w:eastAsia="Calibri"/>
          <w:b/>
          <w:lang w:val="es-MX"/>
        </w:rPr>
        <w:t>mericanos</w:t>
      </w:r>
      <w:r w:rsidR="00533A5A">
        <w:rPr>
          <w:rFonts w:eastAsia="Calibri"/>
          <w:b/>
          <w:lang w:val="es-MX"/>
        </w:rPr>
        <w:t xml:space="preserve"> y de la frontera</w:t>
      </w:r>
      <w:r w:rsidRPr="00B02EF2">
        <w:rPr>
          <w:rFonts w:eastAsia="Calibri"/>
          <w:b/>
          <w:lang w:val="es-MX"/>
        </w:rPr>
        <w:t xml:space="preserve">, La Universidad de Texas en El Paso. </w:t>
      </w:r>
    </w:p>
    <w:p w14:paraId="6F55EC61" w14:textId="2F0B80C3" w:rsidR="00F0649E" w:rsidRPr="00B02EF2" w:rsidRDefault="00F0649E" w:rsidP="00F0717A">
      <w:pPr>
        <w:spacing w:line="480" w:lineRule="auto"/>
        <w:ind w:firstLine="720"/>
        <w:jc w:val="both"/>
        <w:rPr>
          <w:rFonts w:eastAsia="Calibri"/>
          <w:b/>
          <w:lang w:val="es-MX"/>
        </w:rPr>
      </w:pPr>
    </w:p>
    <w:p w14:paraId="62879E18" w14:textId="77777777" w:rsidR="00B16D78" w:rsidRPr="00B16D78" w:rsidRDefault="00B16D78" w:rsidP="00F0717A">
      <w:pPr>
        <w:jc w:val="both"/>
        <w:rPr>
          <w:rFonts w:eastAsia="Calibri"/>
          <w:lang w:val="es-MX"/>
        </w:rPr>
      </w:pPr>
    </w:p>
    <w:p w14:paraId="73FA2E10" w14:textId="53719C37" w:rsidR="00B16D78" w:rsidRPr="00B16D78" w:rsidRDefault="00B16D78" w:rsidP="00F0717A">
      <w:pPr>
        <w:jc w:val="both"/>
        <w:rPr>
          <w:rFonts w:eastAsia="Calibri"/>
          <w:lang w:val="es-MX"/>
        </w:rPr>
      </w:pPr>
      <w:r w:rsidRPr="00B16D78">
        <w:rPr>
          <w:rFonts w:eastAsia="Calibri"/>
          <w:lang w:val="es-MX"/>
        </w:rPr>
        <w:t xml:space="preserve">* Correspondencia directa </w:t>
      </w:r>
      <w:r w:rsidR="00B53873">
        <w:rPr>
          <w:rFonts w:eastAsia="Calibri"/>
          <w:lang w:val="es-MX"/>
        </w:rPr>
        <w:t>p</w:t>
      </w:r>
      <w:r w:rsidRPr="00B16D78">
        <w:rPr>
          <w:rFonts w:eastAsia="Calibri"/>
          <w:lang w:val="es-MX"/>
        </w:rPr>
        <w:t>a</w:t>
      </w:r>
      <w:r w:rsidR="00B53873">
        <w:rPr>
          <w:rFonts w:eastAsia="Calibri"/>
          <w:lang w:val="es-MX"/>
        </w:rPr>
        <w:t>ra Cristina Morales en</w:t>
      </w:r>
      <w:r w:rsidRPr="00B16D78">
        <w:rPr>
          <w:rFonts w:eastAsia="Calibri"/>
          <w:lang w:val="es-MX"/>
        </w:rPr>
        <w:t xml:space="preserve"> </w:t>
      </w:r>
      <w:hyperlink r:id="rId8" w:history="1">
        <w:r w:rsidRPr="00B16D78">
          <w:rPr>
            <w:rStyle w:val="Hyperlink"/>
            <w:rFonts w:eastAsia="Calibri"/>
            <w:lang w:val="es-MX"/>
          </w:rPr>
          <w:t>mcmorales@utep.edu</w:t>
        </w:r>
      </w:hyperlink>
      <w:r>
        <w:rPr>
          <w:rStyle w:val="Hyperlink"/>
          <w:rFonts w:eastAsia="Calibri"/>
          <w:lang w:val="es-MX"/>
        </w:rPr>
        <w:t>.</w:t>
      </w:r>
      <w:r w:rsidRPr="00B16D78">
        <w:rPr>
          <w:rFonts w:eastAsia="Calibri"/>
          <w:lang w:val="es-MX"/>
        </w:rPr>
        <w:t xml:space="preserve"> Favor de obtener permiso de</w:t>
      </w:r>
      <w:r w:rsidR="00533A5A">
        <w:rPr>
          <w:rFonts w:eastAsia="Calibri"/>
          <w:lang w:val="es-MX"/>
        </w:rPr>
        <w:t xml:space="preserve"> Cristina</w:t>
      </w:r>
      <w:r w:rsidRPr="00B16D78">
        <w:rPr>
          <w:rFonts w:eastAsia="Calibri"/>
          <w:lang w:val="es-MX"/>
        </w:rPr>
        <w:t xml:space="preserve"> Morales antes de hacer cualquier uso de este document</w:t>
      </w:r>
      <w:r>
        <w:rPr>
          <w:rFonts w:eastAsia="Calibri"/>
          <w:lang w:val="es-MX"/>
        </w:rPr>
        <w:t xml:space="preserve">o. </w:t>
      </w:r>
      <w:r w:rsidR="008632E6">
        <w:rPr>
          <w:rFonts w:eastAsia="Calibri"/>
          <w:lang w:val="es-MX"/>
        </w:rPr>
        <w:t xml:space="preserve">Derechos de Autor </w:t>
      </w:r>
      <w:r>
        <w:rPr>
          <w:rFonts w:eastAsia="Calibri"/>
          <w:lang w:val="es-MX"/>
        </w:rPr>
        <w:t xml:space="preserve">2017 es conservado por los autores. </w:t>
      </w:r>
    </w:p>
    <w:p w14:paraId="67749D35" w14:textId="40A9CB86" w:rsidR="00615A84" w:rsidRPr="00B16D78" w:rsidRDefault="00615A84" w:rsidP="00F0717A">
      <w:pPr>
        <w:jc w:val="both"/>
        <w:rPr>
          <w:rFonts w:eastAsia="Calibri"/>
          <w:lang w:val="es-MX"/>
        </w:rPr>
      </w:pPr>
    </w:p>
    <w:p w14:paraId="134B7D94" w14:textId="0E1638FB" w:rsidR="00B16D78" w:rsidRPr="00B16D78" w:rsidRDefault="00B16D78" w:rsidP="00F0717A">
      <w:pPr>
        <w:jc w:val="both"/>
        <w:rPr>
          <w:rFonts w:eastAsia="Calibri"/>
          <w:lang w:val="es-MX"/>
        </w:rPr>
      </w:pPr>
      <w:r w:rsidRPr="00B16D78">
        <w:rPr>
          <w:rFonts w:eastAsia="Calibri"/>
          <w:lang w:val="es-MX"/>
        </w:rPr>
        <w:t xml:space="preserve">La información utilizada en este estudio está basada en </w:t>
      </w:r>
      <w:r w:rsidR="008632E6" w:rsidRPr="00B16D78">
        <w:rPr>
          <w:rFonts w:eastAsia="Calibri"/>
          <w:lang w:val="es-MX"/>
        </w:rPr>
        <w:t>una</w:t>
      </w:r>
      <w:r w:rsidRPr="00B16D78">
        <w:rPr>
          <w:rFonts w:eastAsia="Calibri"/>
          <w:lang w:val="es-MX"/>
        </w:rPr>
        <w:t xml:space="preserve"> encuesta </w:t>
      </w:r>
      <w:r w:rsidR="00533A5A">
        <w:rPr>
          <w:rFonts w:eastAsia="Calibri"/>
          <w:lang w:val="es-MX"/>
        </w:rPr>
        <w:t xml:space="preserve">patrocinada </w:t>
      </w:r>
      <w:r w:rsidRPr="00B16D78">
        <w:rPr>
          <w:rFonts w:eastAsia="Calibri"/>
          <w:lang w:val="es-MX"/>
        </w:rPr>
        <w:t>por la Fundación Nacional de Ciencia</w:t>
      </w:r>
      <w:r w:rsidR="00533A5A">
        <w:rPr>
          <w:rFonts w:eastAsia="Calibri"/>
          <w:lang w:val="es-MX"/>
        </w:rPr>
        <w:t>s</w:t>
      </w:r>
      <w:r w:rsidR="008632E6">
        <w:rPr>
          <w:rFonts w:eastAsia="Calibri"/>
          <w:lang w:val="es-MX"/>
        </w:rPr>
        <w:t xml:space="preserve"> (Premio 1251897</w:t>
      </w:r>
      <w:r w:rsidRPr="00B16D78">
        <w:rPr>
          <w:rFonts w:eastAsia="Calibri"/>
          <w:lang w:val="es-MX"/>
        </w:rPr>
        <w:t>, PJ-Ted Curr</w:t>
      </w:r>
      <w:r w:rsidR="00533A5A">
        <w:rPr>
          <w:rFonts w:eastAsia="Calibri"/>
          <w:lang w:val="es-MX"/>
        </w:rPr>
        <w:t xml:space="preserve">y, Co Investigadora Principal Maria Cristina Morales y el Co Investigador Principal </w:t>
      </w:r>
      <w:r w:rsidRPr="00B16D78">
        <w:rPr>
          <w:rFonts w:eastAsia="Calibri"/>
          <w:lang w:val="es-MX"/>
        </w:rPr>
        <w:t xml:space="preserve">Harmon Hosch) </w:t>
      </w:r>
      <w:r w:rsidR="00B53873">
        <w:rPr>
          <w:rFonts w:eastAsia="Calibri"/>
          <w:lang w:val="es-MX"/>
        </w:rPr>
        <w:t>que estudia</w:t>
      </w:r>
      <w:r w:rsidRPr="00B16D78">
        <w:rPr>
          <w:rFonts w:eastAsia="Calibri"/>
          <w:lang w:val="es-MX"/>
        </w:rPr>
        <w:t xml:space="preserve"> la paradoja del </w:t>
      </w:r>
      <w:r w:rsidR="00533A5A">
        <w:rPr>
          <w:rFonts w:eastAsia="Calibri"/>
          <w:lang w:val="es-MX"/>
        </w:rPr>
        <w:t xml:space="preserve">delito </w:t>
      </w:r>
      <w:r w:rsidRPr="00B16D78">
        <w:rPr>
          <w:rFonts w:eastAsia="Calibri"/>
          <w:lang w:val="es-MX"/>
        </w:rPr>
        <w:t xml:space="preserve">de </w:t>
      </w:r>
      <w:r>
        <w:rPr>
          <w:rFonts w:eastAsia="Calibri"/>
          <w:lang w:val="es-MX"/>
        </w:rPr>
        <w:t>in</w:t>
      </w:r>
      <w:r w:rsidRPr="00B16D78">
        <w:rPr>
          <w:rFonts w:eastAsia="Calibri"/>
          <w:lang w:val="es-MX"/>
        </w:rPr>
        <w:t xml:space="preserve">migración. </w:t>
      </w:r>
      <w:r>
        <w:rPr>
          <w:rFonts w:eastAsia="Calibri"/>
          <w:lang w:val="es-MX"/>
        </w:rPr>
        <w:t xml:space="preserve">El trabajo en este </w:t>
      </w:r>
      <w:r w:rsidR="00533A5A">
        <w:rPr>
          <w:rFonts w:eastAsia="Calibri"/>
          <w:lang w:val="es-MX"/>
        </w:rPr>
        <w:t xml:space="preserve">ensayo </w:t>
      </w:r>
      <w:r>
        <w:rPr>
          <w:rFonts w:eastAsia="Calibri"/>
          <w:lang w:val="es-MX"/>
        </w:rPr>
        <w:t>fue apo</w:t>
      </w:r>
      <w:r w:rsidR="00533A5A">
        <w:rPr>
          <w:rFonts w:eastAsia="Calibri"/>
          <w:lang w:val="es-MX"/>
        </w:rPr>
        <w:t>yado por la Escuela de Posgrado de l</w:t>
      </w:r>
      <w:r>
        <w:rPr>
          <w:rFonts w:eastAsia="Calibri"/>
          <w:lang w:val="es-MX"/>
        </w:rPr>
        <w:t xml:space="preserve">a Universidad de Texas en El Paso. </w:t>
      </w:r>
    </w:p>
    <w:p w14:paraId="5EB4A9DB" w14:textId="47B24B11" w:rsidR="007705B1" w:rsidRPr="00B16D78" w:rsidRDefault="007705B1" w:rsidP="00F0717A">
      <w:pPr>
        <w:jc w:val="both"/>
        <w:rPr>
          <w:rFonts w:eastAsia="Calibri"/>
          <w:lang w:val="es-MX"/>
        </w:rPr>
      </w:pPr>
    </w:p>
    <w:p w14:paraId="1DF6AEFC" w14:textId="05BD4C24" w:rsidR="007705B1" w:rsidRPr="00B16D78" w:rsidRDefault="007705B1" w:rsidP="00F0717A">
      <w:pPr>
        <w:jc w:val="both"/>
        <w:rPr>
          <w:rFonts w:eastAsia="Calibri"/>
          <w:lang w:val="es-MX"/>
        </w:rPr>
      </w:pPr>
    </w:p>
    <w:p w14:paraId="4A1EA412" w14:textId="616EA3C7" w:rsidR="007705B1" w:rsidRPr="00B16D78" w:rsidRDefault="007705B1" w:rsidP="00F0717A">
      <w:pPr>
        <w:jc w:val="both"/>
        <w:rPr>
          <w:rFonts w:eastAsia="Calibri"/>
          <w:lang w:val="es-MX"/>
        </w:rPr>
      </w:pPr>
    </w:p>
    <w:p w14:paraId="101E0A4E" w14:textId="77777777" w:rsidR="00533A5A" w:rsidRDefault="00533A5A" w:rsidP="00F0717A">
      <w:pPr>
        <w:spacing w:line="480" w:lineRule="auto"/>
        <w:ind w:firstLine="720"/>
        <w:jc w:val="both"/>
        <w:rPr>
          <w:rFonts w:eastAsia="Calibri"/>
          <w:lang w:val="es-MX"/>
        </w:rPr>
      </w:pPr>
    </w:p>
    <w:p w14:paraId="55617595" w14:textId="34BBA921" w:rsidR="00A022B4" w:rsidRDefault="0031798A" w:rsidP="00F0717A">
      <w:pPr>
        <w:spacing w:line="480" w:lineRule="auto"/>
        <w:ind w:firstLine="720"/>
        <w:jc w:val="both"/>
        <w:rPr>
          <w:rFonts w:eastAsia="Calibri"/>
          <w:lang w:val="es-MX"/>
        </w:rPr>
      </w:pPr>
      <w:r>
        <w:rPr>
          <w:rFonts w:eastAsia="Calibri"/>
          <w:lang w:val="es-MX"/>
        </w:rPr>
        <w:lastRenderedPageBreak/>
        <w:t>El movimiento Black Lives  Matter</w:t>
      </w:r>
      <w:r w:rsidR="00533A5A">
        <w:rPr>
          <w:rFonts w:eastAsia="Calibri"/>
          <w:lang w:val="es-MX"/>
        </w:rPr>
        <w:t>s</w:t>
      </w:r>
      <w:r>
        <w:rPr>
          <w:rFonts w:eastAsia="Calibri"/>
          <w:lang w:val="es-MX"/>
        </w:rPr>
        <w:t xml:space="preserve"> ha sacado </w:t>
      </w:r>
      <w:r w:rsidR="00A25B5F" w:rsidRPr="00A25B5F">
        <w:rPr>
          <w:rFonts w:eastAsia="Calibri"/>
          <w:lang w:val="es-MX"/>
        </w:rPr>
        <w:t xml:space="preserve">a la luz las </w:t>
      </w:r>
      <w:r w:rsidRPr="00A25B5F">
        <w:rPr>
          <w:rFonts w:eastAsia="Calibri"/>
          <w:lang w:val="es-MX"/>
        </w:rPr>
        <w:t>prácticas</w:t>
      </w:r>
      <w:r w:rsidR="00A25B5F" w:rsidRPr="00A25B5F">
        <w:rPr>
          <w:rFonts w:eastAsia="Calibri"/>
          <w:lang w:val="es-MX"/>
        </w:rPr>
        <w:t xml:space="preserve"> </w:t>
      </w:r>
      <w:r w:rsidR="007A4E88" w:rsidRPr="00A25B5F">
        <w:rPr>
          <w:rFonts w:eastAsia="Calibri"/>
          <w:lang w:val="es-MX"/>
        </w:rPr>
        <w:t>sistemáticas</w:t>
      </w:r>
      <w:r>
        <w:rPr>
          <w:rFonts w:eastAsia="Calibri"/>
          <w:lang w:val="es-MX"/>
        </w:rPr>
        <w:t xml:space="preserve"> racistas </w:t>
      </w:r>
      <w:r w:rsidR="00533A5A">
        <w:rPr>
          <w:rFonts w:eastAsia="Calibri"/>
          <w:lang w:val="es-MX"/>
        </w:rPr>
        <w:t xml:space="preserve">de las </w:t>
      </w:r>
      <w:r>
        <w:rPr>
          <w:rFonts w:eastAsia="Calibri"/>
          <w:lang w:val="es-MX"/>
        </w:rPr>
        <w:t>agencias policiacas en los centros urbanos de todo Estados Unidos</w:t>
      </w:r>
      <w:r w:rsidR="00A25B5F" w:rsidRPr="00A25B5F">
        <w:rPr>
          <w:rFonts w:eastAsia="Calibri"/>
          <w:lang w:val="es-MX"/>
        </w:rPr>
        <w:t>.</w:t>
      </w:r>
      <w:r>
        <w:rPr>
          <w:rFonts w:eastAsia="Calibri"/>
          <w:lang w:val="es-MX"/>
        </w:rPr>
        <w:t xml:space="preserve"> El perfil racial</w:t>
      </w:r>
      <w:r w:rsidR="007A4E88">
        <w:rPr>
          <w:rFonts w:eastAsia="Calibri"/>
          <w:lang w:val="es-MX"/>
        </w:rPr>
        <w:t xml:space="preserve">, </w:t>
      </w:r>
      <w:r w:rsidR="00533A5A">
        <w:rPr>
          <w:rFonts w:eastAsia="Calibri"/>
          <w:lang w:val="es-MX"/>
        </w:rPr>
        <w:t>la utilización de la ra</w:t>
      </w:r>
      <w:r w:rsidR="007A4E88">
        <w:rPr>
          <w:rFonts w:eastAsia="Calibri"/>
          <w:lang w:val="es-MX"/>
        </w:rPr>
        <w:t xml:space="preserve">za por </w:t>
      </w:r>
      <w:r w:rsidR="00EA2721">
        <w:rPr>
          <w:rFonts w:eastAsia="Calibri"/>
          <w:lang w:val="es-MX"/>
        </w:rPr>
        <w:t>sí</w:t>
      </w:r>
      <w:r w:rsidR="007A4E88">
        <w:rPr>
          <w:rFonts w:eastAsia="Calibri"/>
          <w:lang w:val="es-MX"/>
        </w:rPr>
        <w:t xml:space="preserve"> sola</w:t>
      </w:r>
      <w:r w:rsidR="008632E6">
        <w:rPr>
          <w:rFonts w:eastAsia="Calibri"/>
          <w:lang w:val="es-MX"/>
        </w:rPr>
        <w:t>,</w:t>
      </w:r>
      <w:r w:rsidR="007A4E88">
        <w:rPr>
          <w:rFonts w:eastAsia="Calibri"/>
          <w:lang w:val="es-MX"/>
        </w:rPr>
        <w:t xml:space="preserve"> como </w:t>
      </w:r>
      <w:r w:rsidR="00B137BE">
        <w:rPr>
          <w:rFonts w:eastAsia="Calibri"/>
          <w:lang w:val="es-MX"/>
        </w:rPr>
        <w:t>criterio</w:t>
      </w:r>
      <w:r>
        <w:rPr>
          <w:rFonts w:eastAsia="Calibri"/>
          <w:lang w:val="es-MX"/>
        </w:rPr>
        <w:t xml:space="preserve"> para decidir</w:t>
      </w:r>
      <w:r w:rsidR="007A4E88">
        <w:rPr>
          <w:rFonts w:eastAsia="Calibri"/>
          <w:lang w:val="es-MX"/>
        </w:rPr>
        <w:t xml:space="preserve"> </w:t>
      </w:r>
      <w:r w:rsidR="00533A5A">
        <w:rPr>
          <w:rFonts w:eastAsia="Calibri"/>
          <w:lang w:val="es-MX"/>
        </w:rPr>
        <w:t xml:space="preserve">si se detiene o arresta </w:t>
      </w:r>
      <w:r>
        <w:rPr>
          <w:rFonts w:eastAsia="Calibri"/>
          <w:lang w:val="es-MX"/>
        </w:rPr>
        <w:t>a alguien, es un tema</w:t>
      </w:r>
      <w:r w:rsidR="007A4E88">
        <w:rPr>
          <w:rFonts w:eastAsia="Calibri"/>
          <w:lang w:val="es-MX"/>
        </w:rPr>
        <w:t xml:space="preserve"> que ha tomado nueva importancia después de una serie de asesinatos </w:t>
      </w:r>
      <w:r w:rsidR="00533A5A">
        <w:rPr>
          <w:rFonts w:eastAsia="Calibri"/>
          <w:lang w:val="es-MX"/>
        </w:rPr>
        <w:t>de</w:t>
      </w:r>
      <w:r w:rsidR="007A4E88">
        <w:rPr>
          <w:rFonts w:eastAsia="Calibri"/>
          <w:lang w:val="es-MX"/>
        </w:rPr>
        <w:t xml:space="preserve"> personas </w:t>
      </w:r>
      <w:r w:rsidR="008632E6">
        <w:rPr>
          <w:rFonts w:eastAsia="Calibri"/>
          <w:lang w:val="es-MX"/>
        </w:rPr>
        <w:t xml:space="preserve">negras </w:t>
      </w:r>
      <w:r w:rsidR="00533A5A">
        <w:rPr>
          <w:rFonts w:eastAsia="Calibri"/>
          <w:lang w:val="es-MX"/>
        </w:rPr>
        <w:t xml:space="preserve">desarmadas </w:t>
      </w:r>
      <w:r w:rsidR="00B137BE">
        <w:rPr>
          <w:rFonts w:eastAsia="Calibri"/>
          <w:lang w:val="es-MX"/>
        </w:rPr>
        <w:t>por</w:t>
      </w:r>
      <w:r>
        <w:rPr>
          <w:rFonts w:eastAsia="Calibri"/>
          <w:lang w:val="es-MX"/>
        </w:rPr>
        <w:t xml:space="preserve"> parte de</w:t>
      </w:r>
      <w:r w:rsidR="00B137BE">
        <w:rPr>
          <w:rFonts w:eastAsia="Calibri"/>
          <w:lang w:val="es-MX"/>
        </w:rPr>
        <w:t xml:space="preserve"> oficiales de la policía. </w:t>
      </w:r>
      <w:r w:rsidR="008632E6">
        <w:rPr>
          <w:rFonts w:eastAsia="Calibri"/>
          <w:lang w:val="es-MX"/>
        </w:rPr>
        <w:t>Los negros seguido</w:t>
      </w:r>
      <w:r w:rsidR="000D53E0">
        <w:rPr>
          <w:rFonts w:eastAsia="Calibri"/>
          <w:lang w:val="es-MX"/>
        </w:rPr>
        <w:t xml:space="preserve">s </w:t>
      </w:r>
      <w:r w:rsidR="00533A5A">
        <w:rPr>
          <w:rFonts w:eastAsia="Calibri"/>
          <w:lang w:val="es-MX"/>
        </w:rPr>
        <w:t xml:space="preserve">por los </w:t>
      </w:r>
      <w:r w:rsidR="000D53E0">
        <w:rPr>
          <w:rFonts w:eastAsia="Calibri"/>
          <w:lang w:val="es-MX"/>
        </w:rPr>
        <w:t>l</w:t>
      </w:r>
      <w:r w:rsidR="00B137BE">
        <w:rPr>
          <w:rFonts w:eastAsia="Calibri"/>
          <w:lang w:val="es-MX"/>
        </w:rPr>
        <w:t>atinos, est</w:t>
      </w:r>
      <w:r w:rsidR="000D53E0">
        <w:rPr>
          <w:rFonts w:eastAsia="Calibri"/>
          <w:lang w:val="es-MX"/>
        </w:rPr>
        <w:t>án plenamente conscientes de los</w:t>
      </w:r>
      <w:r w:rsidR="00B137BE">
        <w:rPr>
          <w:rFonts w:eastAsia="Calibri"/>
          <w:lang w:val="es-MX"/>
        </w:rPr>
        <w:t xml:space="preserve"> prejuicio</w:t>
      </w:r>
      <w:r w:rsidR="000D53E0">
        <w:rPr>
          <w:rFonts w:eastAsia="Calibri"/>
          <w:lang w:val="es-MX"/>
        </w:rPr>
        <w:t>s</w:t>
      </w:r>
      <w:r w:rsidR="00B137BE">
        <w:rPr>
          <w:rFonts w:eastAsia="Calibri"/>
          <w:lang w:val="es-MX"/>
        </w:rPr>
        <w:t xml:space="preserve"> en </w:t>
      </w:r>
      <w:r w:rsidR="00106622">
        <w:rPr>
          <w:rFonts w:eastAsia="Calibri"/>
          <w:lang w:val="es-MX"/>
        </w:rPr>
        <w:t>su contra</w:t>
      </w:r>
      <w:r w:rsidR="00B137BE">
        <w:rPr>
          <w:rFonts w:eastAsia="Calibri"/>
          <w:lang w:val="es-MX"/>
        </w:rPr>
        <w:t xml:space="preserve">, particularmente después de </w:t>
      </w:r>
      <w:r w:rsidR="008632E6">
        <w:rPr>
          <w:rFonts w:eastAsia="Calibri"/>
          <w:lang w:val="es-MX"/>
        </w:rPr>
        <w:t>que tienen contacto con</w:t>
      </w:r>
      <w:r w:rsidR="00B137BE">
        <w:rPr>
          <w:rFonts w:eastAsia="Calibri"/>
          <w:lang w:val="es-MX"/>
        </w:rPr>
        <w:t xml:space="preserve"> la policía </w:t>
      </w:r>
      <w:r w:rsidR="00B137BE" w:rsidRPr="00B137BE">
        <w:rPr>
          <w:rFonts w:eastAsia="Calibri"/>
          <w:lang w:val="es-MX"/>
        </w:rPr>
        <w:t>(Weitzer and Tuch, 2005).</w:t>
      </w:r>
      <w:r w:rsidR="00BC519A">
        <w:rPr>
          <w:rFonts w:eastAsia="Calibri"/>
          <w:lang w:val="es-MX"/>
        </w:rPr>
        <w:t xml:space="preserve"> De hecho, </w:t>
      </w:r>
      <w:r w:rsidR="00533A5A">
        <w:rPr>
          <w:rFonts w:eastAsia="Calibri"/>
          <w:lang w:val="es-MX"/>
        </w:rPr>
        <w:t>Ríos</w:t>
      </w:r>
      <w:r w:rsidR="00BC519A">
        <w:rPr>
          <w:rFonts w:eastAsia="Calibri"/>
          <w:lang w:val="es-MX"/>
        </w:rPr>
        <w:t xml:space="preserve"> (2011) describe el proceso a través del cual </w:t>
      </w:r>
      <w:r w:rsidR="00106622">
        <w:rPr>
          <w:rFonts w:eastAsia="Calibri"/>
          <w:lang w:val="es-MX"/>
        </w:rPr>
        <w:t xml:space="preserve">se imponen </w:t>
      </w:r>
      <w:r w:rsidR="00693956">
        <w:rPr>
          <w:rFonts w:eastAsia="Calibri"/>
          <w:lang w:val="es-MX"/>
        </w:rPr>
        <w:t>etiquetas</w:t>
      </w:r>
      <w:r w:rsidR="00BC519A">
        <w:rPr>
          <w:rFonts w:eastAsia="Calibri"/>
          <w:lang w:val="es-MX"/>
        </w:rPr>
        <w:t xml:space="preserve"> </w:t>
      </w:r>
      <w:r w:rsidR="00693956">
        <w:rPr>
          <w:rFonts w:eastAsia="Calibri"/>
          <w:lang w:val="es-MX"/>
        </w:rPr>
        <w:t>estigmatizadoras</w:t>
      </w:r>
      <w:r w:rsidR="00106622">
        <w:rPr>
          <w:rFonts w:eastAsia="Calibri"/>
          <w:lang w:val="es-MX"/>
        </w:rPr>
        <w:t xml:space="preserve"> </w:t>
      </w:r>
      <w:r w:rsidR="00BC519A">
        <w:rPr>
          <w:rFonts w:eastAsia="Calibri"/>
          <w:lang w:val="es-MX"/>
        </w:rPr>
        <w:t>en</w:t>
      </w:r>
      <w:r w:rsidR="00106622">
        <w:rPr>
          <w:rFonts w:eastAsia="Calibri"/>
          <w:lang w:val="es-MX"/>
        </w:rPr>
        <w:t xml:space="preserve"> los jóvenes l</w:t>
      </w:r>
      <w:r w:rsidR="00BC519A">
        <w:rPr>
          <w:rFonts w:eastAsia="Calibri"/>
          <w:lang w:val="es-MX"/>
        </w:rPr>
        <w:t xml:space="preserve">atinos y </w:t>
      </w:r>
      <w:r w:rsidR="008632E6">
        <w:rPr>
          <w:rFonts w:eastAsia="Calibri"/>
          <w:lang w:val="es-MX"/>
        </w:rPr>
        <w:t xml:space="preserve">negros </w:t>
      </w:r>
      <w:r w:rsidR="00BC519A">
        <w:rPr>
          <w:rFonts w:eastAsia="Calibri"/>
          <w:lang w:val="es-MX"/>
        </w:rPr>
        <w:t>como “</w:t>
      </w:r>
      <w:r w:rsidR="00106622">
        <w:rPr>
          <w:rFonts w:eastAsia="Calibri"/>
          <w:lang w:val="es-MX"/>
        </w:rPr>
        <w:t>hiper etiquetas</w:t>
      </w:r>
      <w:r w:rsidR="00BC519A">
        <w:rPr>
          <w:rFonts w:eastAsia="Calibri"/>
          <w:lang w:val="es-MX"/>
        </w:rPr>
        <w:t xml:space="preserve">” </w:t>
      </w:r>
      <w:r w:rsidR="00693956">
        <w:rPr>
          <w:rFonts w:eastAsia="Calibri"/>
          <w:lang w:val="es-MX"/>
        </w:rPr>
        <w:t xml:space="preserve"> donde los agentes </w:t>
      </w:r>
      <w:r w:rsidR="00533A5A">
        <w:rPr>
          <w:rFonts w:eastAsia="Calibri"/>
          <w:lang w:val="es-MX"/>
        </w:rPr>
        <w:t xml:space="preserve">policiacos, </w:t>
      </w:r>
      <w:r w:rsidR="00693956">
        <w:rPr>
          <w:rFonts w:eastAsia="Calibri"/>
          <w:lang w:val="es-MX"/>
        </w:rPr>
        <w:t xml:space="preserve">incluyendo a los oficiales que implementan la ley, </w:t>
      </w:r>
      <w:r w:rsidR="00533A5A">
        <w:rPr>
          <w:rFonts w:eastAsia="Calibri"/>
          <w:lang w:val="es-MX"/>
        </w:rPr>
        <w:t xml:space="preserve">se enfocan en ellos </w:t>
      </w:r>
      <w:r w:rsidR="00F0717A">
        <w:rPr>
          <w:rFonts w:eastAsia="Calibri"/>
          <w:lang w:val="es-MX"/>
        </w:rPr>
        <w:t xml:space="preserve">de manera sistemática </w:t>
      </w:r>
      <w:r w:rsidR="008632E6">
        <w:rPr>
          <w:rFonts w:eastAsia="Calibri"/>
          <w:lang w:val="es-MX"/>
        </w:rPr>
        <w:t>como riesgos criminales</w:t>
      </w:r>
      <w:r w:rsidR="00533A5A">
        <w:rPr>
          <w:rFonts w:eastAsia="Calibri"/>
          <w:lang w:val="es-MX"/>
        </w:rPr>
        <w:t>, creando de es</w:t>
      </w:r>
      <w:r w:rsidR="00693956">
        <w:rPr>
          <w:rFonts w:eastAsia="Calibri"/>
          <w:lang w:val="es-MX"/>
        </w:rPr>
        <w:t xml:space="preserve">ta manera un ciclo de </w:t>
      </w:r>
      <w:r w:rsidR="008A2399">
        <w:rPr>
          <w:rFonts w:eastAsia="Calibri"/>
          <w:lang w:val="es-MX"/>
        </w:rPr>
        <w:t>criminalización.</w:t>
      </w:r>
    </w:p>
    <w:p w14:paraId="4B733C82" w14:textId="1B78D4CA" w:rsidR="008A2399" w:rsidRPr="008A2399" w:rsidRDefault="008A2399" w:rsidP="00F0717A">
      <w:pPr>
        <w:spacing w:line="480" w:lineRule="auto"/>
        <w:ind w:firstLine="720"/>
        <w:jc w:val="both"/>
        <w:rPr>
          <w:lang w:val="es-MX"/>
        </w:rPr>
      </w:pPr>
      <w:r w:rsidRPr="008A2399">
        <w:rPr>
          <w:lang w:val="es-MX"/>
        </w:rPr>
        <w:t>El objetiv</w:t>
      </w:r>
      <w:r w:rsidR="001639B1">
        <w:rPr>
          <w:lang w:val="es-MX"/>
        </w:rPr>
        <w:t xml:space="preserve">o general de este estudio es </w:t>
      </w:r>
      <w:r w:rsidRPr="008A2399">
        <w:rPr>
          <w:lang w:val="es-MX"/>
        </w:rPr>
        <w:t xml:space="preserve">examinar </w:t>
      </w:r>
      <w:r w:rsidR="00533A5A">
        <w:rPr>
          <w:lang w:val="es-MX"/>
        </w:rPr>
        <w:t>el perfil de nacionalidad</w:t>
      </w:r>
      <w:r>
        <w:rPr>
          <w:lang w:val="es-MX"/>
        </w:rPr>
        <w:t xml:space="preserve"> o </w:t>
      </w:r>
      <w:r w:rsidR="00F0717A">
        <w:rPr>
          <w:lang w:val="es-MX"/>
        </w:rPr>
        <w:t xml:space="preserve">de </w:t>
      </w:r>
      <w:r>
        <w:rPr>
          <w:lang w:val="es-MX"/>
        </w:rPr>
        <w:t xml:space="preserve">quien </w:t>
      </w:r>
      <w:r w:rsidR="008632E6">
        <w:rPr>
          <w:lang w:val="es-MX"/>
        </w:rPr>
        <w:t xml:space="preserve">es </w:t>
      </w:r>
      <w:r>
        <w:rPr>
          <w:lang w:val="es-MX"/>
        </w:rPr>
        <w:t xml:space="preserve">sospechoso de ser indocumentado </w:t>
      </w:r>
      <w:r w:rsidR="00D63290">
        <w:rPr>
          <w:lang w:val="es-MX"/>
        </w:rPr>
        <w:t xml:space="preserve">y </w:t>
      </w:r>
      <w:r w:rsidR="00F0717A">
        <w:rPr>
          <w:lang w:val="es-MX"/>
        </w:rPr>
        <w:t xml:space="preserve">de ser </w:t>
      </w:r>
      <w:r w:rsidR="00D63290">
        <w:rPr>
          <w:lang w:val="es-MX"/>
        </w:rPr>
        <w:t>cuestionado</w:t>
      </w:r>
      <w:r w:rsidR="00533A5A">
        <w:rPr>
          <w:lang w:val="es-MX"/>
        </w:rPr>
        <w:t xml:space="preserve"> </w:t>
      </w:r>
      <w:r w:rsidR="008632E6">
        <w:rPr>
          <w:lang w:val="es-MX"/>
        </w:rPr>
        <w:t xml:space="preserve">así, </w:t>
      </w:r>
      <w:r w:rsidR="00D63290">
        <w:rPr>
          <w:lang w:val="es-MX"/>
        </w:rPr>
        <w:t>su estatus de ciudadanía por los agentes policiacos. Para muchos</w:t>
      </w:r>
      <w:r w:rsidR="00160BE3">
        <w:rPr>
          <w:lang w:val="es-MX"/>
        </w:rPr>
        <w:t>, la</w:t>
      </w:r>
      <w:r w:rsidR="00D63290">
        <w:rPr>
          <w:lang w:val="es-MX"/>
        </w:rPr>
        <w:t xml:space="preserve"> respuesta a esta pregunta es “m</w:t>
      </w:r>
      <w:r w:rsidR="00160BE3">
        <w:rPr>
          <w:lang w:val="es-MX"/>
        </w:rPr>
        <w:t>exicano”. Estadísticamente, un inmigrante no autorizado, en</w:t>
      </w:r>
      <w:r w:rsidR="00533A5A">
        <w:rPr>
          <w:lang w:val="es-MX"/>
        </w:rPr>
        <w:t xml:space="preserve"> la mente de la mayoría, es un m</w:t>
      </w:r>
      <w:r w:rsidR="00160BE3">
        <w:rPr>
          <w:lang w:val="es-MX"/>
        </w:rPr>
        <w:t xml:space="preserve">exicano (Proviene et al., 2016) aunque eso plantea preguntas </w:t>
      </w:r>
      <w:r w:rsidR="00533A5A">
        <w:rPr>
          <w:lang w:val="es-MX"/>
        </w:rPr>
        <w:t xml:space="preserve">de </w:t>
      </w:r>
      <w:r w:rsidR="00D63290">
        <w:rPr>
          <w:lang w:val="es-MX"/>
        </w:rPr>
        <w:t>lo que constituye el fenotipo del</w:t>
      </w:r>
      <w:r w:rsidR="00160BE3">
        <w:rPr>
          <w:lang w:val="es-MX"/>
        </w:rPr>
        <w:t xml:space="preserve"> “mexicano”. A pesar de </w:t>
      </w:r>
      <w:r w:rsidR="008632E6">
        <w:rPr>
          <w:lang w:val="es-MX"/>
        </w:rPr>
        <w:t xml:space="preserve">dichas </w:t>
      </w:r>
      <w:r w:rsidR="00160BE3">
        <w:rPr>
          <w:lang w:val="es-MX"/>
        </w:rPr>
        <w:t>percepcione</w:t>
      </w:r>
      <w:r w:rsidR="008632E6">
        <w:rPr>
          <w:lang w:val="es-MX"/>
        </w:rPr>
        <w:t>s, Heyman (2014:111) nos recordó</w:t>
      </w:r>
      <w:r w:rsidR="00160BE3">
        <w:rPr>
          <w:lang w:val="es-MX"/>
        </w:rPr>
        <w:t xml:space="preserve"> que “la ilegalidad no es</w:t>
      </w:r>
      <w:r w:rsidR="00D63290">
        <w:rPr>
          <w:lang w:val="es-MX"/>
        </w:rPr>
        <w:t xml:space="preserve"> simplemente</w:t>
      </w:r>
      <w:r w:rsidR="00160BE3">
        <w:rPr>
          <w:lang w:val="es-MX"/>
        </w:rPr>
        <w:t xml:space="preserve"> un estado</w:t>
      </w:r>
      <w:r w:rsidR="00DA1193">
        <w:rPr>
          <w:lang w:val="es-MX"/>
        </w:rPr>
        <w:t xml:space="preserve"> de ser, sino </w:t>
      </w:r>
      <w:r w:rsidR="00160BE3">
        <w:rPr>
          <w:lang w:val="es-MX"/>
        </w:rPr>
        <w:t xml:space="preserve">una cuestión de construcción </w:t>
      </w:r>
      <w:r w:rsidR="00D63290">
        <w:rPr>
          <w:lang w:val="es-MX"/>
        </w:rPr>
        <w:t>y lucha socio-</w:t>
      </w:r>
      <w:r w:rsidR="00861E2B">
        <w:rPr>
          <w:lang w:val="es-MX"/>
        </w:rPr>
        <w:t>política</w:t>
      </w:r>
      <w:r w:rsidR="009829EE">
        <w:rPr>
          <w:lang w:val="es-MX"/>
        </w:rPr>
        <w:t>”</w:t>
      </w:r>
      <w:r w:rsidR="00DA1193">
        <w:rPr>
          <w:lang w:val="es-MX"/>
        </w:rPr>
        <w:t>.</w:t>
      </w:r>
    </w:p>
    <w:p w14:paraId="4B7BB4B0" w14:textId="58037E69" w:rsidR="009829EE" w:rsidRPr="009829EE" w:rsidRDefault="002139B3" w:rsidP="00F0717A">
      <w:pPr>
        <w:spacing w:line="480" w:lineRule="auto"/>
        <w:jc w:val="both"/>
        <w:rPr>
          <w:rFonts w:eastAsia="Calibri"/>
          <w:lang w:val="es-MX"/>
        </w:rPr>
      </w:pPr>
      <w:r w:rsidRPr="00BC38B8">
        <w:rPr>
          <w:rFonts w:eastAsia="Calibri"/>
          <w:lang w:val="es-MX"/>
        </w:rPr>
        <w:t xml:space="preserve">  </w:t>
      </w:r>
      <w:r w:rsidR="00DA1193">
        <w:rPr>
          <w:rFonts w:eastAsia="Calibri"/>
          <w:lang w:val="es-MX"/>
        </w:rPr>
        <w:t xml:space="preserve">           </w:t>
      </w:r>
      <w:r w:rsidR="00866420">
        <w:rPr>
          <w:rFonts w:eastAsia="Calibri"/>
          <w:lang w:val="es-MX"/>
        </w:rPr>
        <w:t>Los mexicanos,</w:t>
      </w:r>
      <w:r w:rsidR="009829EE" w:rsidRPr="009829EE">
        <w:rPr>
          <w:rFonts w:eastAsia="Calibri"/>
          <w:lang w:val="es-MX"/>
        </w:rPr>
        <w:t xml:space="preserve"> </w:t>
      </w:r>
      <w:r w:rsidR="00F0717A">
        <w:rPr>
          <w:rFonts w:eastAsia="Calibri"/>
          <w:lang w:val="es-MX"/>
        </w:rPr>
        <w:t>históricamente</w:t>
      </w:r>
      <w:r w:rsidR="00866420">
        <w:rPr>
          <w:rFonts w:eastAsia="Calibri"/>
          <w:lang w:val="es-MX"/>
        </w:rPr>
        <w:t>,</w:t>
      </w:r>
      <w:r w:rsidR="00F0717A">
        <w:rPr>
          <w:rFonts w:eastAsia="Calibri"/>
          <w:lang w:val="es-MX"/>
        </w:rPr>
        <w:t xml:space="preserve"> </w:t>
      </w:r>
      <w:r w:rsidR="00866420" w:rsidRPr="009829EE">
        <w:rPr>
          <w:rFonts w:eastAsia="Calibri"/>
          <w:lang w:val="es-MX"/>
        </w:rPr>
        <w:t>han sido categorizados</w:t>
      </w:r>
      <w:r w:rsidR="00866420">
        <w:rPr>
          <w:rFonts w:eastAsia="Calibri"/>
          <w:lang w:val="es-MX"/>
        </w:rPr>
        <w:t xml:space="preserve"> </w:t>
      </w:r>
      <w:r w:rsidR="00D63290">
        <w:rPr>
          <w:rFonts w:eastAsia="Calibri"/>
          <w:lang w:val="es-MX"/>
        </w:rPr>
        <w:t xml:space="preserve">de manera </w:t>
      </w:r>
      <w:r w:rsidR="00DA1193">
        <w:rPr>
          <w:rFonts w:eastAsia="Calibri"/>
          <w:lang w:val="es-MX"/>
        </w:rPr>
        <w:t>sistemática como “delincuentes</w:t>
      </w:r>
      <w:r w:rsidR="009829EE" w:rsidRPr="009829EE">
        <w:rPr>
          <w:rFonts w:eastAsia="Calibri"/>
          <w:lang w:val="es-MX"/>
        </w:rPr>
        <w:t>”</w:t>
      </w:r>
      <w:r w:rsidR="00DA1193">
        <w:rPr>
          <w:rFonts w:eastAsia="Calibri"/>
          <w:lang w:val="es-MX"/>
        </w:rPr>
        <w:t>,</w:t>
      </w:r>
      <w:r w:rsidR="009829EE" w:rsidRPr="009829EE">
        <w:rPr>
          <w:rFonts w:eastAsia="Calibri"/>
          <w:lang w:val="es-MX"/>
        </w:rPr>
        <w:t xml:space="preserve"> </w:t>
      </w:r>
      <w:r w:rsidR="00DA1193" w:rsidRPr="00AF29E6">
        <w:rPr>
          <w:rFonts w:eastAsia="Calibri"/>
          <w:lang w:val="es-MX"/>
        </w:rPr>
        <w:t>“</w:t>
      </w:r>
      <w:r w:rsidR="009829EE" w:rsidRPr="009829EE">
        <w:rPr>
          <w:rFonts w:eastAsia="Calibri"/>
          <w:lang w:val="es-MX"/>
        </w:rPr>
        <w:t>bandidos</w:t>
      </w:r>
      <w:r w:rsidR="00DA1193">
        <w:rPr>
          <w:rFonts w:eastAsia="Calibri"/>
          <w:lang w:val="es-MX"/>
        </w:rPr>
        <w:t>”</w:t>
      </w:r>
      <w:r w:rsidR="009829EE" w:rsidRPr="009829EE">
        <w:rPr>
          <w:rFonts w:eastAsia="Calibri"/>
          <w:lang w:val="es-MX"/>
        </w:rPr>
        <w:t xml:space="preserve">, </w:t>
      </w:r>
      <w:r w:rsidR="00DA1193">
        <w:rPr>
          <w:rFonts w:eastAsia="Calibri"/>
          <w:lang w:val="es-MX"/>
        </w:rPr>
        <w:t>“</w:t>
      </w:r>
      <w:r w:rsidR="009829EE">
        <w:rPr>
          <w:rFonts w:eastAsia="Calibri"/>
          <w:lang w:val="es-MX"/>
        </w:rPr>
        <w:t>extranjeros</w:t>
      </w:r>
      <w:r w:rsidR="00DA1193">
        <w:rPr>
          <w:rFonts w:eastAsia="Calibri"/>
          <w:lang w:val="es-MX"/>
        </w:rPr>
        <w:t>”</w:t>
      </w:r>
      <w:r w:rsidR="009829EE">
        <w:rPr>
          <w:rFonts w:eastAsia="Calibri"/>
          <w:lang w:val="es-MX"/>
        </w:rPr>
        <w:t xml:space="preserve"> e “ilegales” (Mirande, 198</w:t>
      </w:r>
      <w:r w:rsidR="002D2146">
        <w:rPr>
          <w:rFonts w:eastAsia="Calibri"/>
          <w:lang w:val="es-MX"/>
        </w:rPr>
        <w:t>7, Saenz and</w:t>
      </w:r>
      <w:r w:rsidR="00F0717A">
        <w:rPr>
          <w:rFonts w:eastAsia="Calibri"/>
          <w:lang w:val="es-MX"/>
        </w:rPr>
        <w:t xml:space="preserve"> Morales, 2015, Rios, </w:t>
      </w:r>
      <w:r w:rsidR="009829EE">
        <w:rPr>
          <w:rFonts w:eastAsia="Calibri"/>
          <w:lang w:val="es-MX"/>
        </w:rPr>
        <w:t xml:space="preserve">2011). Hoy en </w:t>
      </w:r>
      <w:r w:rsidR="00DA1193">
        <w:rPr>
          <w:rFonts w:eastAsia="Calibri"/>
          <w:lang w:val="es-MX"/>
        </w:rPr>
        <w:t>día</w:t>
      </w:r>
      <w:r w:rsidR="009829EE">
        <w:rPr>
          <w:rFonts w:eastAsia="Calibri"/>
          <w:lang w:val="es-MX"/>
        </w:rPr>
        <w:t xml:space="preserve">, </w:t>
      </w:r>
      <w:r w:rsidR="00DA1193">
        <w:rPr>
          <w:rFonts w:eastAsia="Calibri"/>
          <w:lang w:val="es-MX"/>
        </w:rPr>
        <w:t xml:space="preserve">las agencias policiacas continúan </w:t>
      </w:r>
      <w:r w:rsidR="00866420">
        <w:rPr>
          <w:rFonts w:eastAsia="Calibri"/>
          <w:lang w:val="es-MX"/>
        </w:rPr>
        <w:t>categorizando</w:t>
      </w:r>
      <w:r w:rsidR="00D869B1">
        <w:rPr>
          <w:rFonts w:eastAsia="Calibri"/>
          <w:lang w:val="es-MX"/>
        </w:rPr>
        <w:t xml:space="preserve"> por su raza,</w:t>
      </w:r>
      <w:r w:rsidR="00D869B1" w:rsidRPr="00D869B1">
        <w:rPr>
          <w:rFonts w:eastAsia="Calibri"/>
          <w:lang w:val="es-MX"/>
        </w:rPr>
        <w:t xml:space="preserve"> </w:t>
      </w:r>
      <w:r w:rsidR="00D869B1">
        <w:rPr>
          <w:rFonts w:eastAsia="Calibri"/>
          <w:lang w:val="es-MX"/>
        </w:rPr>
        <w:t>de forma desproporcionada,</w:t>
      </w:r>
      <w:r w:rsidR="00866420">
        <w:rPr>
          <w:rFonts w:eastAsia="Calibri"/>
          <w:lang w:val="es-MX"/>
        </w:rPr>
        <w:t xml:space="preserve"> </w:t>
      </w:r>
      <w:r w:rsidR="00DA1193">
        <w:rPr>
          <w:rFonts w:eastAsia="Calibri"/>
          <w:lang w:val="es-MX"/>
        </w:rPr>
        <w:t xml:space="preserve">a </w:t>
      </w:r>
      <w:r w:rsidR="009829EE">
        <w:rPr>
          <w:rFonts w:eastAsia="Calibri"/>
          <w:lang w:val="es-MX"/>
        </w:rPr>
        <w:t xml:space="preserve">los mexicanos y </w:t>
      </w:r>
      <w:r w:rsidR="00866420">
        <w:rPr>
          <w:rFonts w:eastAsia="Calibri"/>
          <w:lang w:val="es-MX"/>
        </w:rPr>
        <w:t xml:space="preserve">a </w:t>
      </w:r>
      <w:r w:rsidR="00D869B1">
        <w:rPr>
          <w:rFonts w:eastAsia="Calibri"/>
          <w:lang w:val="es-MX"/>
        </w:rPr>
        <w:t>los latinos en general</w:t>
      </w:r>
      <w:r w:rsidR="008F3603">
        <w:rPr>
          <w:rFonts w:eastAsia="Calibri"/>
          <w:lang w:val="es-MX"/>
        </w:rPr>
        <w:t>.</w:t>
      </w:r>
      <w:r w:rsidR="009829EE">
        <w:rPr>
          <w:rFonts w:eastAsia="Calibri"/>
          <w:lang w:val="es-MX"/>
        </w:rPr>
        <w:t xml:space="preserve"> </w:t>
      </w:r>
      <w:r w:rsidR="008F3603">
        <w:rPr>
          <w:rFonts w:eastAsia="Calibri"/>
          <w:lang w:val="es-MX"/>
        </w:rPr>
        <w:t>(Ver</w:t>
      </w:r>
      <w:r w:rsidR="00DA1193">
        <w:rPr>
          <w:rFonts w:eastAsia="Calibri"/>
          <w:lang w:val="es-MX"/>
        </w:rPr>
        <w:t>:</w:t>
      </w:r>
      <w:r w:rsidR="009829EE" w:rsidRPr="009829EE">
        <w:rPr>
          <w:rFonts w:eastAsia="Calibri"/>
          <w:lang w:val="es-MX"/>
        </w:rPr>
        <w:t xml:space="preserve"> American Civil Liberties Union</w:t>
      </w:r>
      <w:r w:rsidR="00866420">
        <w:rPr>
          <w:rFonts w:eastAsia="Calibri"/>
          <w:lang w:val="es-MX"/>
        </w:rPr>
        <w:t>,</w:t>
      </w:r>
      <w:r w:rsidR="009829EE" w:rsidRPr="009829EE">
        <w:rPr>
          <w:rFonts w:eastAsia="Calibri"/>
          <w:lang w:val="es-MX"/>
        </w:rPr>
        <w:t xml:space="preserve"> 2008). </w:t>
      </w:r>
      <w:r w:rsidR="008F3603">
        <w:rPr>
          <w:rFonts w:eastAsia="Calibri"/>
          <w:lang w:val="es-MX"/>
        </w:rPr>
        <w:t>La categorización racial de</w:t>
      </w:r>
      <w:r w:rsidR="00DA1193">
        <w:rPr>
          <w:rFonts w:eastAsia="Calibri"/>
          <w:lang w:val="es-MX"/>
        </w:rPr>
        <w:t>l</w:t>
      </w:r>
      <w:r w:rsidR="00F0717A">
        <w:rPr>
          <w:rFonts w:eastAsia="Calibri"/>
          <w:lang w:val="es-MX"/>
        </w:rPr>
        <w:t xml:space="preserve"> latino</w:t>
      </w:r>
      <w:r w:rsidR="008F3603">
        <w:rPr>
          <w:rFonts w:eastAsia="Calibri"/>
          <w:lang w:val="es-MX"/>
        </w:rPr>
        <w:t xml:space="preserve"> se ha dado</w:t>
      </w:r>
      <w:r w:rsidR="009829EE">
        <w:rPr>
          <w:rFonts w:eastAsia="Calibri"/>
          <w:lang w:val="es-MX"/>
        </w:rPr>
        <w:t xml:space="preserve"> a pesar de la evidencia </w:t>
      </w:r>
      <w:r w:rsidR="008F3603">
        <w:rPr>
          <w:rFonts w:eastAsia="Calibri"/>
          <w:lang w:val="es-MX"/>
        </w:rPr>
        <w:t xml:space="preserve">del bajo </w:t>
      </w:r>
      <w:r w:rsidR="008F3603">
        <w:rPr>
          <w:rFonts w:eastAsia="Calibri"/>
          <w:lang w:val="es-MX"/>
        </w:rPr>
        <w:lastRenderedPageBreak/>
        <w:t xml:space="preserve">índice de conducta </w:t>
      </w:r>
      <w:r w:rsidR="00DA1193">
        <w:rPr>
          <w:rFonts w:eastAsia="Calibri"/>
          <w:lang w:val="es-MX"/>
        </w:rPr>
        <w:t xml:space="preserve">delictiva </w:t>
      </w:r>
      <w:r w:rsidR="008F3603">
        <w:rPr>
          <w:rFonts w:eastAsia="Calibri"/>
          <w:lang w:val="es-MX"/>
        </w:rPr>
        <w:t xml:space="preserve">de los grupos latinos inmigrantes </w:t>
      </w:r>
      <w:r w:rsidR="00866420">
        <w:rPr>
          <w:rFonts w:eastAsia="Calibri"/>
          <w:lang w:val="es-MX"/>
        </w:rPr>
        <w:t>o a lo</w:t>
      </w:r>
      <w:r w:rsidR="00DA1193">
        <w:rPr>
          <w:rFonts w:eastAsia="Calibri"/>
          <w:lang w:val="es-MX"/>
        </w:rPr>
        <w:t xml:space="preserve"> </w:t>
      </w:r>
      <w:r w:rsidR="008F3603">
        <w:rPr>
          <w:rFonts w:eastAsia="Calibri"/>
          <w:lang w:val="es-MX"/>
        </w:rPr>
        <w:t xml:space="preserve">que los </w:t>
      </w:r>
      <w:r w:rsidR="00DA1193">
        <w:rPr>
          <w:rFonts w:eastAsia="Calibri"/>
          <w:lang w:val="es-MX"/>
        </w:rPr>
        <w:t>académicos</w:t>
      </w:r>
      <w:r w:rsidR="008F3603">
        <w:rPr>
          <w:rFonts w:eastAsia="Calibri"/>
          <w:lang w:val="es-MX"/>
        </w:rPr>
        <w:t xml:space="preserve"> se refieren como </w:t>
      </w:r>
      <w:r w:rsidR="00866420">
        <w:rPr>
          <w:rFonts w:eastAsia="Calibri"/>
          <w:i/>
          <w:lang w:val="es-MX"/>
        </w:rPr>
        <w:t>L</w:t>
      </w:r>
      <w:r w:rsidR="008F3603" w:rsidRPr="00866420">
        <w:rPr>
          <w:rFonts w:eastAsia="Calibri"/>
          <w:i/>
          <w:lang w:val="es-MX"/>
        </w:rPr>
        <w:t>a paradoja del delito del inmigrante latino</w:t>
      </w:r>
      <w:r w:rsidR="009829EE">
        <w:rPr>
          <w:rFonts w:eastAsia="Calibri"/>
          <w:lang w:val="es-MX"/>
        </w:rPr>
        <w:t xml:space="preserve"> </w:t>
      </w:r>
      <w:r w:rsidR="009829EE" w:rsidRPr="009829EE">
        <w:rPr>
          <w:rFonts w:eastAsia="Calibri"/>
          <w:lang w:val="es-MX"/>
        </w:rPr>
        <w:t xml:space="preserve">(Burchfiekl and Silver, 2013; Hagan and Palloni, 1999; Kubrin and Ishizawa, 2012; Martinez, 2002; 2008; 2013; Martinez and Lee, 2000; Martinez and Stowell, 2012; Martinez and Valenzuela, 2006; Ousey and Kubrin, 2009; Sampson, 2008; Sampson and Bean, 2006; Stowell et al., 2009; Thomas, 2011).  </w:t>
      </w:r>
    </w:p>
    <w:p w14:paraId="6A8547BF" w14:textId="1E5420F2" w:rsidR="002A44C7" w:rsidRPr="00BC38B8" w:rsidRDefault="005E7C00" w:rsidP="00F0717A">
      <w:pPr>
        <w:spacing w:line="480" w:lineRule="auto"/>
        <w:ind w:firstLine="720"/>
        <w:jc w:val="both"/>
        <w:rPr>
          <w:rFonts w:eastAsia="Calibri"/>
          <w:lang w:val="es-MX"/>
        </w:rPr>
      </w:pPr>
      <w:r w:rsidRPr="002A44C7">
        <w:rPr>
          <w:lang w:val="es-MX"/>
        </w:rPr>
        <w:t xml:space="preserve"> </w:t>
      </w:r>
      <w:r w:rsidR="00ED51DD" w:rsidRPr="00ED51DD">
        <w:rPr>
          <w:lang w:val="es-MX"/>
        </w:rPr>
        <w:t>A pesar del bajo</w:t>
      </w:r>
      <w:r w:rsidR="008F3603">
        <w:rPr>
          <w:lang w:val="es-MX"/>
        </w:rPr>
        <w:t xml:space="preserve"> índice de delincuencia entre </w:t>
      </w:r>
      <w:r w:rsidR="00DA1193">
        <w:rPr>
          <w:lang w:val="es-MX"/>
        </w:rPr>
        <w:t xml:space="preserve">los </w:t>
      </w:r>
      <w:r w:rsidR="008F3603">
        <w:rPr>
          <w:lang w:val="es-MX"/>
        </w:rPr>
        <w:t>latinos nacidos en el extranjero</w:t>
      </w:r>
      <w:r w:rsidR="00DA1193">
        <w:rPr>
          <w:lang w:val="es-MX"/>
        </w:rPr>
        <w:t>,</w:t>
      </w:r>
      <w:r w:rsidR="008F3603">
        <w:rPr>
          <w:lang w:val="es-MX"/>
        </w:rPr>
        <w:t xml:space="preserve"> </w:t>
      </w:r>
      <w:r w:rsidR="009720EB">
        <w:rPr>
          <w:lang w:val="es-MX"/>
        </w:rPr>
        <w:t xml:space="preserve">en todo el país </w:t>
      </w:r>
      <w:r w:rsidR="00F0717A">
        <w:rPr>
          <w:lang w:val="es-MX"/>
        </w:rPr>
        <w:t xml:space="preserve">ha aumentado </w:t>
      </w:r>
      <w:r w:rsidR="008F3603">
        <w:rPr>
          <w:lang w:val="es-MX"/>
        </w:rPr>
        <w:t xml:space="preserve">el patrullaje </w:t>
      </w:r>
      <w:r w:rsidR="00866420">
        <w:rPr>
          <w:lang w:val="es-MX"/>
        </w:rPr>
        <w:t xml:space="preserve">donde la policía </w:t>
      </w:r>
      <w:r w:rsidR="008F3603">
        <w:rPr>
          <w:lang w:val="es-MX"/>
        </w:rPr>
        <w:t xml:space="preserve">toma el papel de agente </w:t>
      </w:r>
      <w:r w:rsidR="001D0BCE">
        <w:rPr>
          <w:lang w:val="es-MX"/>
        </w:rPr>
        <w:t xml:space="preserve">de </w:t>
      </w:r>
      <w:r w:rsidR="00EF6049">
        <w:rPr>
          <w:lang w:val="es-MX"/>
        </w:rPr>
        <w:t>Inmigración</w:t>
      </w:r>
      <w:r w:rsidR="001D0BCE">
        <w:rPr>
          <w:lang w:val="es-MX"/>
        </w:rPr>
        <w:t xml:space="preserve"> y Aduana</w:t>
      </w:r>
      <w:r w:rsidR="008F3603">
        <w:rPr>
          <w:lang w:val="es-MX"/>
        </w:rPr>
        <w:t>s</w:t>
      </w:r>
      <w:r w:rsidR="001D0BCE">
        <w:rPr>
          <w:lang w:val="es-MX"/>
        </w:rPr>
        <w:t xml:space="preserve"> para</w:t>
      </w:r>
      <w:r w:rsidR="008F3603">
        <w:rPr>
          <w:lang w:val="es-MX"/>
        </w:rPr>
        <w:t xml:space="preserve"> aplicar la ley en las violaciones </w:t>
      </w:r>
      <w:r w:rsidR="00F0717A">
        <w:rPr>
          <w:lang w:val="es-MX"/>
        </w:rPr>
        <w:t xml:space="preserve">migratorias </w:t>
      </w:r>
      <w:r w:rsidR="008F3603">
        <w:rPr>
          <w:lang w:val="es-MX"/>
        </w:rPr>
        <w:t>civiles y penales</w:t>
      </w:r>
      <w:r w:rsidR="00EF6049">
        <w:rPr>
          <w:lang w:val="es-MX"/>
        </w:rPr>
        <w:t xml:space="preserve">. </w:t>
      </w:r>
      <w:r w:rsidR="00E63067">
        <w:rPr>
          <w:lang w:val="es-MX"/>
        </w:rPr>
        <w:t xml:space="preserve">Después del  9/11, </w:t>
      </w:r>
      <w:r w:rsidR="00A754FD">
        <w:rPr>
          <w:lang w:val="es-MX"/>
        </w:rPr>
        <w:t xml:space="preserve">se </w:t>
      </w:r>
      <w:r w:rsidR="00520204">
        <w:rPr>
          <w:lang w:val="es-MX"/>
        </w:rPr>
        <w:t>marc</w:t>
      </w:r>
      <w:r w:rsidR="00DA1193">
        <w:rPr>
          <w:lang w:val="es-MX"/>
        </w:rPr>
        <w:t>ó</w:t>
      </w:r>
      <w:r w:rsidR="00520204">
        <w:rPr>
          <w:lang w:val="es-MX"/>
        </w:rPr>
        <w:t xml:space="preserve"> el crecimiento</w:t>
      </w:r>
      <w:r w:rsidR="00A754FD">
        <w:rPr>
          <w:lang w:val="es-MX"/>
        </w:rPr>
        <w:t xml:space="preserve"> de la vigilancia migratoria interna</w:t>
      </w:r>
      <w:r w:rsidR="00E63067">
        <w:rPr>
          <w:lang w:val="es-MX"/>
        </w:rPr>
        <w:t xml:space="preserve"> además del p</w:t>
      </w:r>
      <w:r w:rsidR="00866420">
        <w:rPr>
          <w:lang w:val="es-MX"/>
        </w:rPr>
        <w:t>atrullaje de la “línea” o los lí</w:t>
      </w:r>
      <w:r w:rsidR="00E63067">
        <w:rPr>
          <w:lang w:val="es-MX"/>
        </w:rPr>
        <w:t>mi</w:t>
      </w:r>
      <w:r w:rsidR="00DA1193">
        <w:rPr>
          <w:lang w:val="es-MX"/>
        </w:rPr>
        <w:t xml:space="preserve">tes políticos en la frontera </w:t>
      </w:r>
      <w:r w:rsidR="00E63067">
        <w:rPr>
          <w:lang w:val="es-MX"/>
        </w:rPr>
        <w:t xml:space="preserve">Estados Unidos-México </w:t>
      </w:r>
      <w:r w:rsidR="00520204">
        <w:rPr>
          <w:lang w:val="es-MX"/>
        </w:rPr>
        <w:t xml:space="preserve"> (</w:t>
      </w:r>
      <w:r w:rsidR="00520204" w:rsidRPr="00520204">
        <w:rPr>
          <w:lang w:val="es-MX"/>
        </w:rPr>
        <w:t>Coleman 2007; De Genova and Peutz 2010; Ngai 2004; Nguyen and Gill, 2016; Provine 2016).</w:t>
      </w:r>
      <w:r w:rsidR="00520204">
        <w:rPr>
          <w:lang w:val="es-MX"/>
        </w:rPr>
        <w:t xml:space="preserve"> </w:t>
      </w:r>
      <w:r w:rsidR="00866420">
        <w:rPr>
          <w:lang w:val="es-MX"/>
        </w:rPr>
        <w:t xml:space="preserve">El reforzamiento del patrullaje migratorio </w:t>
      </w:r>
      <w:r w:rsidR="00520204">
        <w:rPr>
          <w:lang w:val="es-MX"/>
        </w:rPr>
        <w:t>resul</w:t>
      </w:r>
      <w:r w:rsidR="00866420">
        <w:rPr>
          <w:lang w:val="es-MX"/>
        </w:rPr>
        <w:t>tó”… operativamente difuso</w:t>
      </w:r>
      <w:r w:rsidR="00DA1193">
        <w:rPr>
          <w:lang w:val="es-MX"/>
        </w:rPr>
        <w:t xml:space="preserve"> y con</w:t>
      </w:r>
      <w:r w:rsidR="00E63067">
        <w:rPr>
          <w:lang w:val="es-MX"/>
        </w:rPr>
        <w:t xml:space="preserve"> </w:t>
      </w:r>
      <w:r w:rsidR="00DA1193">
        <w:rPr>
          <w:lang w:val="es-MX"/>
        </w:rPr>
        <w:t xml:space="preserve">un poder </w:t>
      </w:r>
      <w:r w:rsidR="00E63067">
        <w:rPr>
          <w:lang w:val="es-MX"/>
        </w:rPr>
        <w:t>interno de observación</w:t>
      </w:r>
      <w:r w:rsidR="00520204">
        <w:rPr>
          <w:lang w:val="es-MX"/>
        </w:rPr>
        <w:t xml:space="preserve"> </w:t>
      </w:r>
      <w:r w:rsidR="00E63067">
        <w:rPr>
          <w:lang w:val="es-MX"/>
        </w:rPr>
        <w:t>enfocado en las</w:t>
      </w:r>
      <w:r w:rsidR="00520204">
        <w:rPr>
          <w:lang w:val="es-MX"/>
        </w:rPr>
        <w:t xml:space="preserve"> poblaci</w:t>
      </w:r>
      <w:r w:rsidR="002A44C7">
        <w:rPr>
          <w:lang w:val="es-MX"/>
        </w:rPr>
        <w:t xml:space="preserve">ones de </w:t>
      </w:r>
      <w:r w:rsidR="002D209B">
        <w:rPr>
          <w:lang w:val="es-MX"/>
        </w:rPr>
        <w:t xml:space="preserve">los </w:t>
      </w:r>
      <w:r w:rsidR="002A44C7">
        <w:rPr>
          <w:lang w:val="es-MX"/>
        </w:rPr>
        <w:t>residentes inmigrantes”</w:t>
      </w:r>
      <w:r w:rsidR="002A44C7" w:rsidRPr="002A44C7">
        <w:rPr>
          <w:lang w:val="es-MX"/>
        </w:rPr>
        <w:t xml:space="preserve"> (Stuesse and Coleman, 2014:106). </w:t>
      </w:r>
      <w:r w:rsidR="002A44C7">
        <w:rPr>
          <w:lang w:val="es-MX"/>
        </w:rPr>
        <w:t xml:space="preserve">Dichas medidas </w:t>
      </w:r>
      <w:r w:rsidR="00E63067">
        <w:rPr>
          <w:lang w:val="es-MX"/>
        </w:rPr>
        <w:t xml:space="preserve">han controlado la expansión de la seguridad y vigilancia </w:t>
      </w:r>
      <w:r w:rsidR="00861E2B">
        <w:rPr>
          <w:lang w:val="es-MX"/>
        </w:rPr>
        <w:t>desde el gobierno federal hasta las agencias policiacas estatales, del condado y locales</w:t>
      </w:r>
      <w:r w:rsidR="006211F7">
        <w:rPr>
          <w:lang w:val="es-MX"/>
        </w:rPr>
        <w:t xml:space="preserve">. </w:t>
      </w:r>
      <w:r w:rsidR="002A44C7" w:rsidRPr="00BC38B8">
        <w:rPr>
          <w:lang w:val="es-MX"/>
        </w:rPr>
        <w:t xml:space="preserve">Provine et al., 2016; Salter, 2004).  </w:t>
      </w:r>
    </w:p>
    <w:p w14:paraId="16943CD3" w14:textId="4ADED87D" w:rsidR="002845FA" w:rsidRPr="0081488A" w:rsidRDefault="002D209B" w:rsidP="009C1FC4">
      <w:pPr>
        <w:spacing w:line="480" w:lineRule="auto"/>
        <w:ind w:firstLine="720"/>
        <w:jc w:val="both"/>
        <w:rPr>
          <w:rFonts w:eastAsia="Calibri"/>
          <w:lang w:val="es-MX"/>
        </w:rPr>
      </w:pPr>
      <w:r>
        <w:rPr>
          <w:lang w:val="es-MX"/>
        </w:rPr>
        <w:t xml:space="preserve">Históricamente, </w:t>
      </w:r>
      <w:r w:rsidR="006211F7">
        <w:rPr>
          <w:lang w:val="es-MX"/>
        </w:rPr>
        <w:t xml:space="preserve">la vigilancia </w:t>
      </w:r>
      <w:r w:rsidR="004F0150">
        <w:rPr>
          <w:lang w:val="es-MX"/>
        </w:rPr>
        <w:t xml:space="preserve">migratoria </w:t>
      </w:r>
      <w:r w:rsidR="00494540" w:rsidRPr="00494540">
        <w:rPr>
          <w:lang w:val="es-MX"/>
        </w:rPr>
        <w:t xml:space="preserve">era responsabilidad del gobierno federal, pero esto ha cambiado </w:t>
      </w:r>
      <w:r w:rsidR="00494540">
        <w:rPr>
          <w:lang w:val="es-MX"/>
        </w:rPr>
        <w:t xml:space="preserve">debido al aumento de </w:t>
      </w:r>
      <w:r>
        <w:rPr>
          <w:lang w:val="es-MX"/>
        </w:rPr>
        <w:t xml:space="preserve">las </w:t>
      </w:r>
      <w:r w:rsidR="00494540">
        <w:rPr>
          <w:lang w:val="es-MX"/>
        </w:rPr>
        <w:t xml:space="preserve">políticas </w:t>
      </w:r>
      <w:r w:rsidR="004F0150">
        <w:rPr>
          <w:lang w:val="es-MX"/>
        </w:rPr>
        <w:t xml:space="preserve">migratorias </w:t>
      </w:r>
      <w:r w:rsidR="006211F7">
        <w:rPr>
          <w:lang w:val="es-MX"/>
        </w:rPr>
        <w:t xml:space="preserve">restrictivas </w:t>
      </w:r>
      <w:r w:rsidR="005178B5">
        <w:rPr>
          <w:lang w:val="es-MX"/>
        </w:rPr>
        <w:t>a nivel estado, condado y local</w:t>
      </w:r>
      <w:r w:rsidR="00494540">
        <w:rPr>
          <w:lang w:val="es-MX"/>
        </w:rPr>
        <w:t xml:space="preserve"> (</w:t>
      </w:r>
      <w:r w:rsidR="006211F7">
        <w:rPr>
          <w:lang w:val="es-MX"/>
        </w:rPr>
        <w:t>Ver</w:t>
      </w:r>
      <w:r w:rsidR="00494540" w:rsidRPr="00494540">
        <w:rPr>
          <w:lang w:val="es-MX"/>
        </w:rPr>
        <w:t xml:space="preserve"> Armenta, 2016; Chavez and Provine, 2009; Varsanyi, 2009).  </w:t>
      </w:r>
      <w:r w:rsidR="00494540">
        <w:rPr>
          <w:lang w:val="es-MX"/>
        </w:rPr>
        <w:t xml:space="preserve">Existe </w:t>
      </w:r>
      <w:r w:rsidR="005178B5">
        <w:rPr>
          <w:lang w:val="es-MX"/>
        </w:rPr>
        <w:t>una gama</w:t>
      </w:r>
      <w:r w:rsidR="00494540">
        <w:rPr>
          <w:lang w:val="es-MX"/>
        </w:rPr>
        <w:t xml:space="preserve"> de actores sub</w:t>
      </w:r>
      <w:r>
        <w:rPr>
          <w:lang w:val="es-MX"/>
        </w:rPr>
        <w:t>-</w:t>
      </w:r>
      <w:r w:rsidR="005178B5" w:rsidRPr="007E3E9C">
        <w:rPr>
          <w:lang w:val="es-MX"/>
        </w:rPr>
        <w:t>nacionales</w:t>
      </w:r>
      <w:r w:rsidR="00494540" w:rsidRPr="007E3E9C">
        <w:rPr>
          <w:lang w:val="es-MX"/>
        </w:rPr>
        <w:t xml:space="preserve"> involucrados en la</w:t>
      </w:r>
      <w:r w:rsidR="00494540">
        <w:rPr>
          <w:lang w:val="es-MX"/>
        </w:rPr>
        <w:t xml:space="preserve"> </w:t>
      </w:r>
      <w:r w:rsidR="00EF3769">
        <w:rPr>
          <w:lang w:val="es-MX"/>
        </w:rPr>
        <w:t>detección</w:t>
      </w:r>
      <w:r w:rsidR="00494540">
        <w:rPr>
          <w:lang w:val="es-MX"/>
        </w:rPr>
        <w:t xml:space="preserve"> y </w:t>
      </w:r>
      <w:r w:rsidR="006B7CD8">
        <w:rPr>
          <w:lang w:val="es-MX"/>
        </w:rPr>
        <w:t>expulsión</w:t>
      </w:r>
      <w:r w:rsidR="005178B5">
        <w:rPr>
          <w:lang w:val="es-MX"/>
        </w:rPr>
        <w:t xml:space="preserve"> de</w:t>
      </w:r>
      <w:r w:rsidR="007E3E9C">
        <w:rPr>
          <w:lang w:val="es-MX"/>
        </w:rPr>
        <w:t xml:space="preserve"> </w:t>
      </w:r>
      <w:r w:rsidR="0081151A">
        <w:rPr>
          <w:lang w:val="es-MX"/>
        </w:rPr>
        <w:t xml:space="preserve">residentes inmigrantes a quienes </w:t>
      </w:r>
      <w:r w:rsidR="006B7CD8">
        <w:rPr>
          <w:lang w:val="es-MX"/>
        </w:rPr>
        <w:t>se</w:t>
      </w:r>
      <w:r w:rsidR="007E3E9C">
        <w:rPr>
          <w:lang w:val="es-MX"/>
        </w:rPr>
        <w:t xml:space="preserve"> les niega</w:t>
      </w:r>
      <w:r w:rsidR="005178B5">
        <w:rPr>
          <w:lang w:val="es-MX"/>
        </w:rPr>
        <w:t xml:space="preserve"> el derecho legal de permanecer en los Estados Unidos.</w:t>
      </w:r>
      <w:r w:rsidR="0081151A">
        <w:rPr>
          <w:lang w:val="es-MX"/>
        </w:rPr>
        <w:t xml:space="preserve"> </w:t>
      </w:r>
      <w:r w:rsidR="006B7CD8">
        <w:rPr>
          <w:lang w:val="es-MX"/>
        </w:rPr>
        <w:t>Refrendar</w:t>
      </w:r>
      <w:r w:rsidR="005178B5">
        <w:rPr>
          <w:lang w:val="es-MX"/>
        </w:rPr>
        <w:t xml:space="preserve"> tales</w:t>
      </w:r>
      <w:r w:rsidR="0081151A">
        <w:rPr>
          <w:lang w:val="es-MX"/>
        </w:rPr>
        <w:t xml:space="preserve"> procesos s</w:t>
      </w:r>
      <w:r w:rsidR="005178B5">
        <w:rPr>
          <w:lang w:val="es-MX"/>
        </w:rPr>
        <w:t>on algunas</w:t>
      </w:r>
      <w:r w:rsidR="0081151A">
        <w:rPr>
          <w:lang w:val="es-MX"/>
        </w:rPr>
        <w:t xml:space="preserve"> iniciativas políticas </w:t>
      </w:r>
      <w:r w:rsidR="005178B5">
        <w:rPr>
          <w:lang w:val="es-MX"/>
        </w:rPr>
        <w:t>que incluyen</w:t>
      </w:r>
      <w:r w:rsidR="0081151A">
        <w:rPr>
          <w:lang w:val="es-MX"/>
        </w:rPr>
        <w:t xml:space="preserve"> leyes, </w:t>
      </w:r>
      <w:r w:rsidR="005178B5">
        <w:rPr>
          <w:lang w:val="es-MX"/>
        </w:rPr>
        <w:t xml:space="preserve">ordenanzas municipales y </w:t>
      </w:r>
      <w:r w:rsidR="00406981">
        <w:rPr>
          <w:lang w:val="es-MX"/>
        </w:rPr>
        <w:t>polí</w:t>
      </w:r>
      <w:r w:rsidR="00406981" w:rsidRPr="00406981">
        <w:rPr>
          <w:lang w:val="es-MX"/>
        </w:rPr>
        <w:t>ticas</w:t>
      </w:r>
      <w:r w:rsidR="00EF3769" w:rsidRPr="00406981">
        <w:rPr>
          <w:lang w:val="es-MX"/>
        </w:rPr>
        <w:t xml:space="preserve"> administrativas</w:t>
      </w:r>
      <w:r w:rsidR="00EF3769">
        <w:rPr>
          <w:lang w:val="es-MX"/>
        </w:rPr>
        <w:t xml:space="preserve"> a nivel </w:t>
      </w:r>
      <w:r w:rsidR="00406981">
        <w:rPr>
          <w:lang w:val="es-MX"/>
        </w:rPr>
        <w:t>estatal y local</w:t>
      </w:r>
      <w:r w:rsidR="00EF3769">
        <w:rPr>
          <w:lang w:val="es-MX"/>
        </w:rPr>
        <w:t>.</w:t>
      </w:r>
      <w:r w:rsidR="001E5D6B">
        <w:rPr>
          <w:lang w:val="es-MX"/>
        </w:rPr>
        <w:t xml:space="preserve"> Muy particularmente, </w:t>
      </w:r>
      <w:r w:rsidR="00EF3769">
        <w:rPr>
          <w:lang w:val="es-MX"/>
        </w:rPr>
        <w:t xml:space="preserve">el apoyo </w:t>
      </w:r>
      <w:r w:rsidR="00406981">
        <w:rPr>
          <w:lang w:val="es-MX"/>
        </w:rPr>
        <w:t xml:space="preserve">de Arizona a </w:t>
      </w:r>
      <w:r w:rsidR="006B7CD8">
        <w:rPr>
          <w:lang w:val="es-MX"/>
        </w:rPr>
        <w:t>la aplicación de la Ley de V</w:t>
      </w:r>
      <w:r w:rsidR="00406981">
        <w:rPr>
          <w:lang w:val="es-MX"/>
        </w:rPr>
        <w:t xml:space="preserve">ecindarios </w:t>
      </w:r>
      <w:r w:rsidR="006B7CD8">
        <w:rPr>
          <w:lang w:val="es-MX"/>
        </w:rPr>
        <w:t xml:space="preserve">Seguros </w:t>
      </w:r>
      <w:r w:rsidR="001E5D6B">
        <w:rPr>
          <w:lang w:val="es-MX"/>
        </w:rPr>
        <w:t xml:space="preserve">o </w:t>
      </w:r>
      <w:r w:rsidR="00EF3769">
        <w:rPr>
          <w:lang w:val="es-MX"/>
        </w:rPr>
        <w:t xml:space="preserve">SB1070, </w:t>
      </w:r>
      <w:r w:rsidR="006B7CD8">
        <w:rPr>
          <w:lang w:val="es-MX"/>
        </w:rPr>
        <w:t xml:space="preserve">enmendada </w:t>
      </w:r>
      <w:r w:rsidR="00EA2721">
        <w:rPr>
          <w:lang w:val="es-MX"/>
        </w:rPr>
        <w:t xml:space="preserve">posteriormente </w:t>
      </w:r>
      <w:r w:rsidR="006B7CD8">
        <w:rPr>
          <w:lang w:val="es-MX"/>
        </w:rPr>
        <w:lastRenderedPageBreak/>
        <w:t>a la HB</w:t>
      </w:r>
      <w:r>
        <w:rPr>
          <w:lang w:val="es-MX"/>
        </w:rPr>
        <w:t xml:space="preserve"> 2162</w:t>
      </w:r>
      <w:r w:rsidR="001E5D6B">
        <w:rPr>
          <w:lang w:val="es-MX"/>
        </w:rPr>
        <w:t xml:space="preserve"> que</w:t>
      </w:r>
      <w:r w:rsidR="00EF3769">
        <w:rPr>
          <w:lang w:val="es-MX"/>
        </w:rPr>
        <w:t xml:space="preserve"> legaliz</w:t>
      </w:r>
      <w:r w:rsidR="006B7CD8">
        <w:rPr>
          <w:lang w:val="es-MX"/>
        </w:rPr>
        <w:t>ó l</w:t>
      </w:r>
      <w:r w:rsidR="00EF3769">
        <w:rPr>
          <w:lang w:val="es-MX"/>
        </w:rPr>
        <w:t xml:space="preserve">a vigilancia intensificada de los </w:t>
      </w:r>
      <w:r w:rsidR="006B7CD8">
        <w:rPr>
          <w:lang w:val="es-MX"/>
        </w:rPr>
        <w:t>l</w:t>
      </w:r>
      <w:r w:rsidR="00EF3769">
        <w:rPr>
          <w:lang w:val="es-MX"/>
        </w:rPr>
        <w:t>atino</w:t>
      </w:r>
      <w:r w:rsidR="006B7CD8">
        <w:rPr>
          <w:lang w:val="es-MX"/>
        </w:rPr>
        <w:t>s</w:t>
      </w:r>
      <w:r>
        <w:rPr>
          <w:lang w:val="es-MX"/>
        </w:rPr>
        <w:t>,</w:t>
      </w:r>
      <w:r w:rsidR="00EF3769">
        <w:rPr>
          <w:lang w:val="es-MX"/>
        </w:rPr>
        <w:t xml:space="preserve"> provocando más arrestos y detenciones por </w:t>
      </w:r>
      <w:r w:rsidR="006B7CD8">
        <w:rPr>
          <w:lang w:val="es-MX"/>
        </w:rPr>
        <w:t xml:space="preserve">la </w:t>
      </w:r>
      <w:r w:rsidR="00EF3769">
        <w:rPr>
          <w:lang w:val="es-MX"/>
        </w:rPr>
        <w:t xml:space="preserve">policía </w:t>
      </w:r>
      <w:r w:rsidR="006B7CD8">
        <w:rPr>
          <w:lang w:val="es-MX"/>
        </w:rPr>
        <w:t xml:space="preserve">estatal y </w:t>
      </w:r>
      <w:r w:rsidR="00EF3769">
        <w:rPr>
          <w:lang w:val="es-MX"/>
        </w:rPr>
        <w:t xml:space="preserve">local </w:t>
      </w:r>
      <w:r w:rsidR="00EF3769" w:rsidRPr="00EF3769">
        <w:rPr>
          <w:rFonts w:eastAsia="Calibri"/>
          <w:lang w:val="es-MX"/>
        </w:rPr>
        <w:t xml:space="preserve">(Heyman, 2010; </w:t>
      </w:r>
      <w:r w:rsidR="001E5D6B" w:rsidRPr="00EF3769">
        <w:rPr>
          <w:lang w:val="es-MX"/>
        </w:rPr>
        <w:t>Sáenz</w:t>
      </w:r>
      <w:r w:rsidR="00EF3769" w:rsidRPr="00EF3769">
        <w:rPr>
          <w:lang w:val="es-MX"/>
        </w:rPr>
        <w:t xml:space="preserve"> and Morales, 2015; </w:t>
      </w:r>
      <w:r w:rsidR="001E5D6B" w:rsidRPr="00EF3769">
        <w:rPr>
          <w:lang w:val="es-MX"/>
        </w:rPr>
        <w:t>Sáenz</w:t>
      </w:r>
      <w:r w:rsidR="00EF3769" w:rsidRPr="00EF3769">
        <w:rPr>
          <w:lang w:val="es-MX"/>
        </w:rPr>
        <w:t xml:space="preserve"> et al., 2011)</w:t>
      </w:r>
      <w:r w:rsidR="00EF3769">
        <w:rPr>
          <w:lang w:val="es-MX"/>
        </w:rPr>
        <w:t xml:space="preserve">. Los gobiernos locales y del condado cada vez </w:t>
      </w:r>
      <w:r w:rsidR="001E5D6B">
        <w:rPr>
          <w:lang w:val="es-MX"/>
        </w:rPr>
        <w:t xml:space="preserve">están </w:t>
      </w:r>
      <w:r w:rsidR="00AF7D94">
        <w:rPr>
          <w:lang w:val="es-MX"/>
        </w:rPr>
        <w:t>más</w:t>
      </w:r>
      <w:r w:rsidR="00EF3769">
        <w:rPr>
          <w:lang w:val="es-MX"/>
        </w:rPr>
        <w:t xml:space="preserve"> involucrados en </w:t>
      </w:r>
      <w:r w:rsidR="007E3E9C">
        <w:rPr>
          <w:lang w:val="es-MX"/>
        </w:rPr>
        <w:t>la vigilancia</w:t>
      </w:r>
      <w:r w:rsidR="001E5D6B">
        <w:rPr>
          <w:lang w:val="es-MX"/>
        </w:rPr>
        <w:t xml:space="preserve"> migratoria</w:t>
      </w:r>
      <w:r w:rsidR="00EF3769">
        <w:rPr>
          <w:lang w:val="es-MX"/>
        </w:rPr>
        <w:t xml:space="preserve">, aunque la mayoría de estos esfuerzos </w:t>
      </w:r>
      <w:r>
        <w:rPr>
          <w:lang w:val="es-MX"/>
        </w:rPr>
        <w:t>se enfoca</w:t>
      </w:r>
      <w:r w:rsidR="001E5D6B">
        <w:rPr>
          <w:lang w:val="es-MX"/>
        </w:rPr>
        <w:t>n</w:t>
      </w:r>
      <w:r w:rsidR="007E3E9C">
        <w:rPr>
          <w:lang w:val="es-MX"/>
        </w:rPr>
        <w:t xml:space="preserve"> </w:t>
      </w:r>
      <w:r w:rsidR="00EF3769">
        <w:rPr>
          <w:lang w:val="es-MX"/>
        </w:rPr>
        <w:t xml:space="preserve">en </w:t>
      </w:r>
      <w:r w:rsidR="00F24B3A">
        <w:rPr>
          <w:lang w:val="es-MX"/>
        </w:rPr>
        <w:t xml:space="preserve">los </w:t>
      </w:r>
      <w:r w:rsidR="001E5D6B">
        <w:rPr>
          <w:lang w:val="es-MX"/>
        </w:rPr>
        <w:t>destinos de los nuevos migrantes y/</w:t>
      </w:r>
      <w:r w:rsidR="00F24B3A">
        <w:rPr>
          <w:lang w:val="es-MX"/>
        </w:rPr>
        <w:t>o aquellos</w:t>
      </w:r>
      <w:r w:rsidR="00EF3769">
        <w:rPr>
          <w:lang w:val="es-MX"/>
        </w:rPr>
        <w:t xml:space="preserve"> con un</w:t>
      </w:r>
      <w:r w:rsidR="00F24B3A">
        <w:rPr>
          <w:lang w:val="es-MX"/>
        </w:rPr>
        <w:t>a creciente población latina</w:t>
      </w:r>
      <w:r w:rsidR="00EF3769">
        <w:rPr>
          <w:lang w:val="es-MX"/>
        </w:rPr>
        <w:t xml:space="preserve"> </w:t>
      </w:r>
      <w:r w:rsidR="00AF7D94" w:rsidRPr="00AF7D94">
        <w:rPr>
          <w:rFonts w:eastAsia="Calibri"/>
          <w:lang w:val="es-MX"/>
        </w:rPr>
        <w:t xml:space="preserve">(Armenta, 2016; Sáenz, 2010; </w:t>
      </w:r>
      <w:r w:rsidR="00AF7D94" w:rsidRPr="00AF7D94">
        <w:rPr>
          <w:lang w:val="es-MX"/>
        </w:rPr>
        <w:t>Shahani and Greene 2009</w:t>
      </w:r>
      <w:r w:rsidR="00AF7D94" w:rsidRPr="00AF7D94">
        <w:rPr>
          <w:rFonts w:eastAsia="Calibri"/>
          <w:lang w:val="es-MX"/>
        </w:rPr>
        <w:t xml:space="preserve">. </w:t>
      </w:r>
      <w:r w:rsidR="009837D6" w:rsidRPr="009837D6">
        <w:rPr>
          <w:rFonts w:eastAsia="Calibri"/>
          <w:lang w:val="es-MX"/>
        </w:rPr>
        <w:t>Eagly (</w:t>
      </w:r>
      <w:r>
        <w:rPr>
          <w:rFonts w:eastAsia="Calibri"/>
          <w:lang w:val="es-MX"/>
        </w:rPr>
        <w:t>2013)</w:t>
      </w:r>
      <w:r w:rsidR="00F24B3A">
        <w:rPr>
          <w:rFonts w:eastAsia="Calibri"/>
          <w:lang w:val="es-MX"/>
        </w:rPr>
        <w:t xml:space="preserve"> por ejemplo, describió el condado de</w:t>
      </w:r>
      <w:r>
        <w:rPr>
          <w:rFonts w:eastAsia="Calibri"/>
          <w:lang w:val="es-MX"/>
        </w:rPr>
        <w:t xml:space="preserve"> Maricopa (Phoenix, Arizona</w:t>
      </w:r>
      <w:r w:rsidR="00AF7D94" w:rsidRPr="009837D6">
        <w:rPr>
          <w:rFonts w:eastAsia="Calibri"/>
          <w:lang w:val="es-MX"/>
        </w:rPr>
        <w:t xml:space="preserve">) </w:t>
      </w:r>
      <w:r>
        <w:rPr>
          <w:rFonts w:eastAsia="Calibri"/>
          <w:lang w:val="es-MX"/>
        </w:rPr>
        <w:t>como el</w:t>
      </w:r>
      <w:r w:rsidR="009837D6" w:rsidRPr="009837D6">
        <w:rPr>
          <w:rFonts w:eastAsia="Calibri"/>
          <w:lang w:val="es-MX"/>
        </w:rPr>
        <w:t xml:space="preserve"> </w:t>
      </w:r>
      <w:r w:rsidR="009837D6">
        <w:rPr>
          <w:rFonts w:eastAsia="Calibri"/>
          <w:lang w:val="es-MX"/>
        </w:rPr>
        <w:t xml:space="preserve">modelo </w:t>
      </w:r>
      <w:r w:rsidR="009837D6" w:rsidRPr="009837D6">
        <w:rPr>
          <w:rFonts w:eastAsia="Calibri"/>
          <w:lang w:val="es-MX"/>
        </w:rPr>
        <w:t>ilustrativo de “</w:t>
      </w:r>
      <w:r w:rsidR="00F24B3A">
        <w:rPr>
          <w:rFonts w:eastAsia="Calibri"/>
          <w:lang w:val="es-MX"/>
        </w:rPr>
        <w:t xml:space="preserve">un </w:t>
      </w:r>
      <w:r w:rsidR="009837D6" w:rsidRPr="009837D6">
        <w:rPr>
          <w:rFonts w:eastAsia="Calibri"/>
          <w:lang w:val="es-MX"/>
        </w:rPr>
        <w:t>castigo</w:t>
      </w:r>
      <w:r w:rsidR="00F24B3A">
        <w:rPr>
          <w:rFonts w:eastAsia="Calibri"/>
          <w:lang w:val="es-MX"/>
        </w:rPr>
        <w:t xml:space="preserve"> ilegal</w:t>
      </w:r>
      <w:r w:rsidR="009837D6" w:rsidRPr="009837D6">
        <w:rPr>
          <w:rFonts w:eastAsia="Calibri"/>
          <w:lang w:val="es-MX"/>
        </w:rPr>
        <w:t xml:space="preserve"> </w:t>
      </w:r>
      <w:r w:rsidR="001E5D6B">
        <w:rPr>
          <w:rFonts w:eastAsia="Calibri"/>
          <w:lang w:val="es-MX"/>
        </w:rPr>
        <w:t xml:space="preserve">a </w:t>
      </w:r>
      <w:r w:rsidR="009837D6" w:rsidRPr="009837D6">
        <w:rPr>
          <w:rFonts w:eastAsia="Calibri"/>
          <w:lang w:val="es-MX"/>
        </w:rPr>
        <w:t>los ilegales”</w:t>
      </w:r>
      <w:r w:rsidR="00AF7D94" w:rsidRPr="009837D6">
        <w:rPr>
          <w:rFonts w:eastAsia="Calibri"/>
          <w:lang w:val="es-MX"/>
        </w:rPr>
        <w:t xml:space="preserve"> </w:t>
      </w:r>
      <w:r w:rsidR="009837D6">
        <w:rPr>
          <w:rFonts w:eastAsia="Calibri"/>
          <w:lang w:val="es-MX"/>
        </w:rPr>
        <w:t xml:space="preserve">que </w:t>
      </w:r>
      <w:r w:rsidR="001E5D6B">
        <w:rPr>
          <w:rFonts w:eastAsia="Calibri"/>
          <w:lang w:val="es-MX"/>
        </w:rPr>
        <w:t xml:space="preserve">lleva </w:t>
      </w:r>
      <w:r w:rsidR="00F24B3A">
        <w:rPr>
          <w:rFonts w:eastAsia="Calibri"/>
          <w:lang w:val="es-MX"/>
        </w:rPr>
        <w:t xml:space="preserve">la aplicación de </w:t>
      </w:r>
      <w:r w:rsidR="004F0150">
        <w:rPr>
          <w:rFonts w:eastAsia="Calibri"/>
          <w:lang w:val="es-MX"/>
        </w:rPr>
        <w:t xml:space="preserve">la </w:t>
      </w:r>
      <w:r w:rsidR="00F24B3A">
        <w:rPr>
          <w:rFonts w:eastAsia="Calibri"/>
          <w:lang w:val="es-MX"/>
        </w:rPr>
        <w:t xml:space="preserve">vigilancia </w:t>
      </w:r>
      <w:r w:rsidR="004F0150">
        <w:rPr>
          <w:rFonts w:eastAsia="Calibri"/>
          <w:lang w:val="es-MX"/>
        </w:rPr>
        <w:t xml:space="preserve">migratoria </w:t>
      </w:r>
      <w:r w:rsidR="00F24B3A">
        <w:rPr>
          <w:rFonts w:eastAsia="Calibri"/>
          <w:lang w:val="es-MX"/>
        </w:rPr>
        <w:t xml:space="preserve">como primordial para la vigilancia local. </w:t>
      </w:r>
      <w:r w:rsidR="001E5D6B">
        <w:rPr>
          <w:rFonts w:eastAsia="Calibri"/>
          <w:lang w:val="es-MX"/>
        </w:rPr>
        <w:t xml:space="preserve">En el 2006, </w:t>
      </w:r>
      <w:r w:rsidR="004F0150">
        <w:rPr>
          <w:rFonts w:eastAsia="Calibri"/>
          <w:lang w:val="es-MX"/>
        </w:rPr>
        <w:t>Hazelton</w:t>
      </w:r>
      <w:r w:rsidR="00AF7D94" w:rsidRPr="00AF7D94">
        <w:rPr>
          <w:rFonts w:eastAsia="Calibri"/>
          <w:lang w:val="es-MX"/>
        </w:rPr>
        <w:t xml:space="preserve"> Pennsylvania </w:t>
      </w:r>
      <w:r w:rsidR="009837D6">
        <w:rPr>
          <w:rFonts w:eastAsia="Calibri"/>
          <w:lang w:val="es-MX"/>
        </w:rPr>
        <w:t>aprobó</w:t>
      </w:r>
      <w:r w:rsidR="004F0150">
        <w:rPr>
          <w:rFonts w:eastAsia="Calibri"/>
          <w:lang w:val="es-MX"/>
        </w:rPr>
        <w:t xml:space="preserve"> la Ley de Alivio</w:t>
      </w:r>
      <w:r w:rsidR="004603D2">
        <w:rPr>
          <w:rFonts w:eastAsia="Calibri"/>
          <w:lang w:val="es-MX"/>
        </w:rPr>
        <w:t xml:space="preserve"> para la </w:t>
      </w:r>
      <w:r>
        <w:rPr>
          <w:rFonts w:eastAsia="Calibri"/>
          <w:lang w:val="es-MX"/>
        </w:rPr>
        <w:t>Inmigración I</w:t>
      </w:r>
      <w:r w:rsidR="004603D2">
        <w:rPr>
          <w:rFonts w:eastAsia="Calibri"/>
          <w:lang w:val="es-MX"/>
        </w:rPr>
        <w:t>legal (IIRA) que</w:t>
      </w:r>
      <w:r w:rsidR="00AF7D94" w:rsidRPr="00AF7D94">
        <w:rPr>
          <w:rFonts w:eastAsia="Calibri"/>
          <w:lang w:val="es-MX"/>
        </w:rPr>
        <w:t xml:space="preserve"> se </w:t>
      </w:r>
      <w:r w:rsidR="009529B0" w:rsidRPr="00AF7D94">
        <w:rPr>
          <w:rFonts w:eastAsia="Calibri"/>
          <w:lang w:val="es-MX"/>
        </w:rPr>
        <w:t>basó</w:t>
      </w:r>
      <w:r w:rsidR="00AF7D94" w:rsidRPr="00AF7D94">
        <w:rPr>
          <w:rFonts w:eastAsia="Calibri"/>
          <w:lang w:val="es-MX"/>
        </w:rPr>
        <w:t xml:space="preserve"> en gran medida en la </w:t>
      </w:r>
      <w:r w:rsidR="009529B0" w:rsidRPr="00AF7D94">
        <w:rPr>
          <w:rFonts w:eastAsia="Calibri"/>
          <w:lang w:val="es-MX"/>
        </w:rPr>
        <w:t>retórica</w:t>
      </w:r>
      <w:r w:rsidR="004603D2">
        <w:rPr>
          <w:rFonts w:eastAsia="Calibri"/>
          <w:lang w:val="es-MX"/>
        </w:rPr>
        <w:t xml:space="preserve"> racial</w:t>
      </w:r>
      <w:r w:rsidR="009529B0">
        <w:rPr>
          <w:rFonts w:eastAsia="Calibri"/>
          <w:lang w:val="es-MX"/>
        </w:rPr>
        <w:t xml:space="preserve"> de la gu</w:t>
      </w:r>
      <w:r w:rsidR="00AF7D94" w:rsidRPr="00AF7D94">
        <w:rPr>
          <w:rFonts w:eastAsia="Calibri"/>
          <w:lang w:val="es-MX"/>
        </w:rPr>
        <w:t>e</w:t>
      </w:r>
      <w:r w:rsidR="009529B0">
        <w:rPr>
          <w:rFonts w:eastAsia="Calibri"/>
          <w:lang w:val="es-MX"/>
        </w:rPr>
        <w:t>r</w:t>
      </w:r>
      <w:r w:rsidR="001E5D6B">
        <w:rPr>
          <w:rFonts w:eastAsia="Calibri"/>
          <w:lang w:val="es-MX"/>
        </w:rPr>
        <w:t>ra contra el</w:t>
      </w:r>
      <w:r w:rsidR="004603D2">
        <w:rPr>
          <w:rFonts w:eastAsia="Calibri"/>
          <w:lang w:val="es-MX"/>
        </w:rPr>
        <w:t xml:space="preserve"> delito</w:t>
      </w:r>
      <w:r w:rsidR="00AF7D94" w:rsidRPr="00AF7D94">
        <w:rPr>
          <w:rFonts w:eastAsia="Calibri"/>
          <w:lang w:val="es-MX"/>
        </w:rPr>
        <w:t xml:space="preserve"> que </w:t>
      </w:r>
      <w:r w:rsidR="00590763">
        <w:rPr>
          <w:rFonts w:eastAsia="Calibri"/>
          <w:lang w:val="es-MX"/>
        </w:rPr>
        <w:t xml:space="preserve">establecía </w:t>
      </w:r>
      <w:r w:rsidRPr="00AF7D94">
        <w:rPr>
          <w:rFonts w:eastAsia="Calibri"/>
          <w:lang w:val="es-MX"/>
        </w:rPr>
        <w:t>socialmente</w:t>
      </w:r>
      <w:r>
        <w:rPr>
          <w:rFonts w:eastAsia="Calibri"/>
          <w:lang w:val="es-MX"/>
        </w:rPr>
        <w:t xml:space="preserve"> </w:t>
      </w:r>
      <w:r w:rsidR="004F0150">
        <w:rPr>
          <w:rFonts w:eastAsia="Calibri"/>
          <w:lang w:val="es-MX"/>
        </w:rPr>
        <w:t>a</w:t>
      </w:r>
      <w:r w:rsidR="00AF7D94" w:rsidRPr="00AF7D94">
        <w:rPr>
          <w:rFonts w:eastAsia="Calibri"/>
          <w:lang w:val="es-MX"/>
        </w:rPr>
        <w:t xml:space="preserve"> los latinos como “ilegales”</w:t>
      </w:r>
      <w:r w:rsidR="00AF7D94">
        <w:rPr>
          <w:rFonts w:eastAsia="Calibri"/>
          <w:lang w:val="es-MX"/>
        </w:rPr>
        <w:t xml:space="preserve"> e “ilícitos” </w:t>
      </w:r>
      <w:r w:rsidR="009529B0">
        <w:rPr>
          <w:rFonts w:eastAsia="Calibri"/>
          <w:lang w:val="es-MX"/>
        </w:rPr>
        <w:t xml:space="preserve">marginando </w:t>
      </w:r>
      <w:r w:rsidR="001E5D6B">
        <w:rPr>
          <w:rFonts w:eastAsia="Calibri"/>
          <w:lang w:val="es-MX"/>
        </w:rPr>
        <w:t xml:space="preserve">aún más </w:t>
      </w:r>
      <w:r w:rsidR="009529B0">
        <w:rPr>
          <w:rFonts w:eastAsia="Calibri"/>
          <w:lang w:val="es-MX"/>
        </w:rPr>
        <w:t xml:space="preserve">a las comunidades inmigrantes </w:t>
      </w:r>
      <w:r w:rsidR="009529B0" w:rsidRPr="009529B0">
        <w:rPr>
          <w:rFonts w:eastAsia="Calibri"/>
          <w:lang w:val="es-MX"/>
        </w:rPr>
        <w:t xml:space="preserve">(Longazel, 2013).  </w:t>
      </w:r>
      <w:r w:rsidR="009529B0">
        <w:rPr>
          <w:rFonts w:eastAsia="Calibri"/>
          <w:lang w:val="es-MX"/>
        </w:rPr>
        <w:t xml:space="preserve">La vigilancia </w:t>
      </w:r>
      <w:r w:rsidR="00590763">
        <w:rPr>
          <w:rFonts w:eastAsia="Calibri"/>
          <w:lang w:val="es-MX"/>
        </w:rPr>
        <w:t xml:space="preserve">migratoria </w:t>
      </w:r>
      <w:r w:rsidR="009529B0">
        <w:rPr>
          <w:rFonts w:eastAsia="Calibri"/>
          <w:lang w:val="es-MX"/>
        </w:rPr>
        <w:t xml:space="preserve">también se ha </w:t>
      </w:r>
      <w:r w:rsidR="009C1FC4">
        <w:rPr>
          <w:rFonts w:eastAsia="Calibri"/>
          <w:lang w:val="es-MX"/>
        </w:rPr>
        <w:t xml:space="preserve">extendido </w:t>
      </w:r>
      <w:r w:rsidR="00590763">
        <w:rPr>
          <w:rFonts w:eastAsia="Calibri"/>
          <w:lang w:val="es-MX"/>
        </w:rPr>
        <w:t>bajo la Ley de Responsabilidad</w:t>
      </w:r>
      <w:r>
        <w:rPr>
          <w:rFonts w:eastAsia="Calibri"/>
          <w:lang w:val="es-MX"/>
        </w:rPr>
        <w:t xml:space="preserve"> de los I</w:t>
      </w:r>
      <w:r w:rsidR="004603D2">
        <w:rPr>
          <w:rFonts w:eastAsia="Calibri"/>
          <w:lang w:val="es-MX"/>
        </w:rPr>
        <w:t xml:space="preserve">nmigrantes y la </w:t>
      </w:r>
      <w:r>
        <w:rPr>
          <w:rFonts w:eastAsia="Calibri"/>
          <w:lang w:val="es-MX"/>
        </w:rPr>
        <w:t xml:space="preserve">Reforma de Inmigración Ilegal </w:t>
      </w:r>
      <w:r w:rsidR="004603D2">
        <w:rPr>
          <w:rFonts w:eastAsia="Calibri"/>
          <w:lang w:val="es-MX"/>
        </w:rPr>
        <w:t xml:space="preserve">de 1996 </w:t>
      </w:r>
      <w:r w:rsidR="001471A1">
        <w:rPr>
          <w:lang w:val="es-MX"/>
        </w:rPr>
        <w:t xml:space="preserve">a través de la expansión </w:t>
      </w:r>
      <w:r w:rsidR="009C1FC4">
        <w:rPr>
          <w:lang w:val="es-MX"/>
        </w:rPr>
        <w:t xml:space="preserve">de las funciones de la policía estatal y local </w:t>
      </w:r>
      <w:r w:rsidR="00C47026">
        <w:rPr>
          <w:lang w:val="es-MX"/>
        </w:rPr>
        <w:t xml:space="preserve">bajo </w:t>
      </w:r>
      <w:r w:rsidR="00590763">
        <w:rPr>
          <w:lang w:val="es-MX"/>
        </w:rPr>
        <w:t xml:space="preserve">las políticas de la </w:t>
      </w:r>
      <w:r w:rsidR="00C47026">
        <w:rPr>
          <w:lang w:val="es-MX"/>
        </w:rPr>
        <w:t xml:space="preserve">287(g) donde las agencias policiacas estatales y locales celebran </w:t>
      </w:r>
      <w:r>
        <w:rPr>
          <w:lang w:val="es-MX"/>
        </w:rPr>
        <w:t xml:space="preserve">convenios </w:t>
      </w:r>
      <w:r w:rsidR="00C47026">
        <w:rPr>
          <w:lang w:val="es-MX"/>
        </w:rPr>
        <w:t xml:space="preserve">con el </w:t>
      </w:r>
      <w:r w:rsidR="00534605">
        <w:rPr>
          <w:rFonts w:eastAsia="Calibri"/>
          <w:lang w:val="es-MX"/>
        </w:rPr>
        <w:t xml:space="preserve">Fiscal General </w:t>
      </w:r>
      <w:r w:rsidR="00B31981">
        <w:rPr>
          <w:rFonts w:eastAsia="Calibri"/>
          <w:lang w:val="es-MX"/>
        </w:rPr>
        <w:t xml:space="preserve">para desempeñar las </w:t>
      </w:r>
      <w:r w:rsidR="00C47026">
        <w:rPr>
          <w:rFonts w:eastAsia="Calibri"/>
          <w:lang w:val="es-MX"/>
        </w:rPr>
        <w:t>funciones de aplicación de las</w:t>
      </w:r>
      <w:r w:rsidR="00B31981">
        <w:rPr>
          <w:rFonts w:eastAsia="Calibri"/>
          <w:lang w:val="es-MX"/>
        </w:rPr>
        <w:t xml:space="preserve"> ley</w:t>
      </w:r>
      <w:r>
        <w:rPr>
          <w:rFonts w:eastAsia="Calibri"/>
          <w:lang w:val="es-MX"/>
        </w:rPr>
        <w:t xml:space="preserve">es migratorias </w:t>
      </w:r>
      <w:r w:rsidR="00590763">
        <w:rPr>
          <w:rFonts w:eastAsia="Calibri"/>
          <w:lang w:val="es-MX"/>
        </w:rPr>
        <w:t>(Ver</w:t>
      </w:r>
      <w:r w:rsidR="006D7649" w:rsidRPr="006D7649">
        <w:rPr>
          <w:rFonts w:eastAsia="Calibri"/>
          <w:lang w:val="es-MX"/>
        </w:rPr>
        <w:t xml:space="preserve"> Armenta, 2012; Proviene et al. 2016).  </w:t>
      </w:r>
      <w:r w:rsidR="00C47026">
        <w:rPr>
          <w:rFonts w:eastAsia="Calibri"/>
          <w:lang w:val="es-MX"/>
        </w:rPr>
        <w:t>De igual manera</w:t>
      </w:r>
      <w:r>
        <w:rPr>
          <w:rFonts w:eastAsia="Calibri"/>
          <w:lang w:val="es-MX"/>
        </w:rPr>
        <w:t>,</w:t>
      </w:r>
      <w:r w:rsidR="00C47026">
        <w:rPr>
          <w:rFonts w:eastAsia="Calibri"/>
          <w:lang w:val="es-MX"/>
        </w:rPr>
        <w:t xml:space="preserve"> Sec</w:t>
      </w:r>
      <w:r>
        <w:rPr>
          <w:rFonts w:eastAsia="Calibri"/>
          <w:lang w:val="es-MX"/>
        </w:rPr>
        <w:t>ure Communities es una iniciativa</w:t>
      </w:r>
      <w:r w:rsidR="00C47026">
        <w:rPr>
          <w:rFonts w:eastAsia="Calibri"/>
          <w:lang w:val="es-MX"/>
        </w:rPr>
        <w:t xml:space="preserve"> administrativa que facilita </w:t>
      </w:r>
      <w:r w:rsidR="00E0753B" w:rsidRPr="00E0753B">
        <w:rPr>
          <w:rFonts w:eastAsia="Calibri"/>
          <w:lang w:val="es-MX"/>
        </w:rPr>
        <w:t>la aplicación de</w:t>
      </w:r>
      <w:r w:rsidR="00C47026">
        <w:rPr>
          <w:rFonts w:eastAsia="Calibri"/>
          <w:lang w:val="es-MX"/>
        </w:rPr>
        <w:t xml:space="preserve"> la ley a nivel local y </w:t>
      </w:r>
      <w:r w:rsidR="00E0753B" w:rsidRPr="00E0753B">
        <w:rPr>
          <w:rFonts w:eastAsia="Calibri"/>
          <w:lang w:val="es-MX"/>
        </w:rPr>
        <w:t xml:space="preserve">estatal para </w:t>
      </w:r>
      <w:r w:rsidR="00C47026">
        <w:rPr>
          <w:rFonts w:eastAsia="Calibri"/>
          <w:lang w:val="es-MX"/>
        </w:rPr>
        <w:t>cola</w:t>
      </w:r>
      <w:r w:rsidR="00590763">
        <w:rPr>
          <w:rFonts w:eastAsia="Calibri"/>
          <w:lang w:val="es-MX"/>
        </w:rPr>
        <w:t>borar con las agencias de Inmig</w:t>
      </w:r>
      <w:r w:rsidR="00C47026">
        <w:rPr>
          <w:rFonts w:eastAsia="Calibri"/>
          <w:lang w:val="es-MX"/>
        </w:rPr>
        <w:t>raci</w:t>
      </w:r>
      <w:r w:rsidR="00590763">
        <w:rPr>
          <w:rFonts w:eastAsia="Calibri"/>
          <w:lang w:val="es-MX"/>
        </w:rPr>
        <w:t>ó</w:t>
      </w:r>
      <w:r w:rsidR="00C47026">
        <w:rPr>
          <w:rFonts w:eastAsia="Calibri"/>
          <w:lang w:val="es-MX"/>
        </w:rPr>
        <w:t>n y Aduanas</w:t>
      </w:r>
      <w:r w:rsidR="00E0753B" w:rsidRPr="00E0753B">
        <w:rPr>
          <w:rFonts w:eastAsia="Calibri"/>
          <w:lang w:val="es-MX"/>
        </w:rPr>
        <w:t xml:space="preserve"> de</w:t>
      </w:r>
      <w:r w:rsidR="00C47026">
        <w:rPr>
          <w:rFonts w:eastAsia="Calibri"/>
          <w:lang w:val="es-MX"/>
        </w:rPr>
        <w:t xml:space="preserve"> los</w:t>
      </w:r>
      <w:r w:rsidR="00E0753B" w:rsidRPr="00E0753B">
        <w:rPr>
          <w:rFonts w:eastAsia="Calibri"/>
          <w:lang w:val="es-MX"/>
        </w:rPr>
        <w:t xml:space="preserve"> Estados Unidos </w:t>
      </w:r>
      <w:r w:rsidR="00E0753B">
        <w:rPr>
          <w:rFonts w:eastAsia="Calibri"/>
          <w:lang w:val="es-MX"/>
        </w:rPr>
        <w:t>(ICE</w:t>
      </w:r>
      <w:r w:rsidR="00C47026">
        <w:rPr>
          <w:rFonts w:eastAsia="Calibri"/>
          <w:lang w:val="es-MX"/>
        </w:rPr>
        <w:t>,</w:t>
      </w:r>
      <w:r w:rsidR="006F13E7">
        <w:rPr>
          <w:rFonts w:eastAsia="Calibri"/>
          <w:lang w:val="es-MX"/>
        </w:rPr>
        <w:t xml:space="preserve"> por sus siglas en ingl</w:t>
      </w:r>
      <w:r>
        <w:rPr>
          <w:rFonts w:eastAsia="Calibri"/>
          <w:lang w:val="es-MX"/>
        </w:rPr>
        <w:t>é</w:t>
      </w:r>
      <w:r w:rsidR="006F13E7">
        <w:rPr>
          <w:rFonts w:eastAsia="Calibri"/>
          <w:lang w:val="es-MX"/>
        </w:rPr>
        <w:t>s</w:t>
      </w:r>
      <w:r w:rsidR="00E0753B">
        <w:rPr>
          <w:rFonts w:eastAsia="Calibri"/>
          <w:lang w:val="es-MX"/>
        </w:rPr>
        <w:t>) y</w:t>
      </w:r>
      <w:r w:rsidR="00C47026">
        <w:rPr>
          <w:rFonts w:eastAsia="Calibri"/>
          <w:lang w:val="es-MX"/>
        </w:rPr>
        <w:t xml:space="preserve"> el </w:t>
      </w:r>
      <w:r w:rsidR="00590763">
        <w:rPr>
          <w:rFonts w:eastAsia="Calibri"/>
          <w:lang w:val="es-MX"/>
        </w:rPr>
        <w:t>Buró</w:t>
      </w:r>
      <w:r w:rsidR="00E0753B">
        <w:rPr>
          <w:rFonts w:eastAsia="Calibri"/>
          <w:lang w:val="es-MX"/>
        </w:rPr>
        <w:t xml:space="preserve"> </w:t>
      </w:r>
      <w:r w:rsidR="006F13E7">
        <w:rPr>
          <w:rFonts w:eastAsia="Calibri"/>
          <w:lang w:val="es-MX"/>
        </w:rPr>
        <w:t>F</w:t>
      </w:r>
      <w:r w:rsidR="00E0753B">
        <w:rPr>
          <w:rFonts w:eastAsia="Calibri"/>
          <w:lang w:val="es-MX"/>
        </w:rPr>
        <w:t xml:space="preserve">ederal de </w:t>
      </w:r>
      <w:r w:rsidR="006F13E7">
        <w:rPr>
          <w:rFonts w:eastAsia="Calibri"/>
          <w:lang w:val="es-MX"/>
        </w:rPr>
        <w:t>I</w:t>
      </w:r>
      <w:r w:rsidR="009C1FC4">
        <w:rPr>
          <w:rFonts w:eastAsia="Calibri"/>
          <w:lang w:val="es-MX"/>
        </w:rPr>
        <w:t>nvestigaciones</w:t>
      </w:r>
      <w:r w:rsidR="00E0753B">
        <w:rPr>
          <w:rFonts w:eastAsia="Calibri"/>
          <w:lang w:val="es-MX"/>
        </w:rPr>
        <w:t xml:space="preserve"> (FBI</w:t>
      </w:r>
      <w:r w:rsidR="00C47026">
        <w:rPr>
          <w:rFonts w:eastAsia="Calibri"/>
          <w:lang w:val="es-MX"/>
        </w:rPr>
        <w:t>, por sus siglas en inglé</w:t>
      </w:r>
      <w:r w:rsidR="006F13E7">
        <w:rPr>
          <w:rFonts w:eastAsia="Calibri"/>
          <w:lang w:val="es-MX"/>
        </w:rPr>
        <w:t>s</w:t>
      </w:r>
      <w:r w:rsidR="00C47026">
        <w:rPr>
          <w:rFonts w:eastAsia="Calibri"/>
          <w:lang w:val="es-MX"/>
        </w:rPr>
        <w:t xml:space="preserve">) para la vigilancia </w:t>
      </w:r>
      <w:r w:rsidR="00590763">
        <w:rPr>
          <w:rFonts w:eastAsia="Calibri"/>
          <w:lang w:val="es-MX"/>
        </w:rPr>
        <w:t xml:space="preserve">migratoria </w:t>
      </w:r>
      <w:r w:rsidR="009C1FC4">
        <w:rPr>
          <w:rFonts w:eastAsia="Calibri"/>
          <w:lang w:val="es-MX"/>
        </w:rPr>
        <w:t xml:space="preserve">que se aplica </w:t>
      </w:r>
      <w:r w:rsidR="00EA2721">
        <w:rPr>
          <w:rFonts w:eastAsia="Calibri"/>
          <w:lang w:val="es-MX"/>
        </w:rPr>
        <w:t xml:space="preserve">comúnmente </w:t>
      </w:r>
      <w:r w:rsidR="009C1FC4">
        <w:rPr>
          <w:rFonts w:eastAsia="Calibri"/>
          <w:lang w:val="es-MX"/>
        </w:rPr>
        <w:t>en el</w:t>
      </w:r>
      <w:r w:rsidR="00E0753B">
        <w:rPr>
          <w:rFonts w:eastAsia="Calibri"/>
          <w:lang w:val="es-MX"/>
        </w:rPr>
        <w:t xml:space="preserve"> momento de</w:t>
      </w:r>
      <w:r w:rsidR="00C3352C">
        <w:rPr>
          <w:rFonts w:eastAsia="Calibri"/>
          <w:lang w:val="es-MX"/>
        </w:rPr>
        <w:t xml:space="preserve"> ser ingresado </w:t>
      </w:r>
      <w:r w:rsidR="00E0753B">
        <w:rPr>
          <w:rFonts w:eastAsia="Calibri"/>
          <w:lang w:val="es-MX"/>
        </w:rPr>
        <w:t>en la cárcel o prisión</w:t>
      </w:r>
      <w:r w:rsidR="009C1FC4">
        <w:rPr>
          <w:rFonts w:eastAsia="Calibri"/>
          <w:lang w:val="es-MX"/>
        </w:rPr>
        <w:t xml:space="preserve"> después de un</w:t>
      </w:r>
      <w:r w:rsidR="00E0753B">
        <w:rPr>
          <w:rFonts w:eastAsia="Calibri"/>
          <w:lang w:val="es-MX"/>
        </w:rPr>
        <w:t xml:space="preserve"> arresto, pero antes del juicio o condena.</w:t>
      </w:r>
      <w:r w:rsidR="006F13E7">
        <w:rPr>
          <w:rFonts w:eastAsia="Calibri"/>
          <w:lang w:val="es-MX"/>
        </w:rPr>
        <w:t xml:space="preserve"> </w:t>
      </w:r>
      <w:r w:rsidR="009C1FC4">
        <w:rPr>
          <w:rFonts w:eastAsia="Calibri"/>
          <w:lang w:val="es-MX"/>
        </w:rPr>
        <w:t xml:space="preserve">El Programa de </w:t>
      </w:r>
      <w:r w:rsidR="009C1FC4" w:rsidRPr="006F13E7">
        <w:rPr>
          <w:lang w:val="es-MX"/>
        </w:rPr>
        <w:t>Comu</w:t>
      </w:r>
      <w:r w:rsidR="009C1FC4">
        <w:rPr>
          <w:lang w:val="es-MX"/>
        </w:rPr>
        <w:t>nidades Seguras permitió</w:t>
      </w:r>
      <w:r w:rsidR="00A337B9">
        <w:rPr>
          <w:lang w:val="es-MX"/>
        </w:rPr>
        <w:t xml:space="preserve"> que</w:t>
      </w:r>
      <w:r w:rsidR="00C3352C">
        <w:rPr>
          <w:lang w:val="es-MX"/>
        </w:rPr>
        <w:t xml:space="preserve"> </w:t>
      </w:r>
      <w:r w:rsidR="006F13E7">
        <w:rPr>
          <w:lang w:val="es-MX"/>
        </w:rPr>
        <w:t>los oficiales</w:t>
      </w:r>
      <w:r w:rsidR="00C3352C">
        <w:rPr>
          <w:lang w:val="es-MX"/>
        </w:rPr>
        <w:t xml:space="preserve"> policiacos estatales y locales enviaran </w:t>
      </w:r>
      <w:r w:rsidR="00590763">
        <w:rPr>
          <w:lang w:val="es-MX"/>
        </w:rPr>
        <w:t xml:space="preserve">automáticamente </w:t>
      </w:r>
      <w:r w:rsidR="009C1FC4">
        <w:rPr>
          <w:lang w:val="es-MX"/>
        </w:rPr>
        <w:t xml:space="preserve">las huellas </w:t>
      </w:r>
      <w:r w:rsidR="00C3352C">
        <w:rPr>
          <w:lang w:val="es-MX"/>
        </w:rPr>
        <w:t>al FBI y al D</w:t>
      </w:r>
      <w:r w:rsidR="006F13E7">
        <w:rPr>
          <w:lang w:val="es-MX"/>
        </w:rPr>
        <w:t>epartame</w:t>
      </w:r>
      <w:r w:rsidR="00C3352C">
        <w:rPr>
          <w:lang w:val="es-MX"/>
        </w:rPr>
        <w:t>nto de Seguridad N</w:t>
      </w:r>
      <w:r w:rsidR="006F13E7">
        <w:rPr>
          <w:lang w:val="es-MX"/>
        </w:rPr>
        <w:t>acion</w:t>
      </w:r>
      <w:r w:rsidR="00C3352C">
        <w:rPr>
          <w:lang w:val="es-MX"/>
        </w:rPr>
        <w:t xml:space="preserve">al (DHS, por sus </w:t>
      </w:r>
      <w:r w:rsidR="00C3352C">
        <w:rPr>
          <w:lang w:val="es-MX"/>
        </w:rPr>
        <w:lastRenderedPageBreak/>
        <w:t>siglas en inglé</w:t>
      </w:r>
      <w:r w:rsidR="006F13E7">
        <w:rPr>
          <w:lang w:val="es-MX"/>
        </w:rPr>
        <w:t>s)</w:t>
      </w:r>
      <w:r w:rsidR="009C1FC4">
        <w:rPr>
          <w:lang w:val="es-MX"/>
        </w:rPr>
        <w:t xml:space="preserve"> </w:t>
      </w:r>
      <w:r w:rsidR="006F13E7">
        <w:rPr>
          <w:lang w:val="es-MX"/>
        </w:rPr>
        <w:t>para</w:t>
      </w:r>
      <w:r w:rsidR="00590763">
        <w:rPr>
          <w:lang w:val="es-MX"/>
        </w:rPr>
        <w:t xml:space="preserve"> verificarlas</w:t>
      </w:r>
      <w:r w:rsidR="00C3352C">
        <w:rPr>
          <w:lang w:val="es-MX"/>
        </w:rPr>
        <w:t xml:space="preserve"> en su</w:t>
      </w:r>
      <w:r w:rsidR="006F13E7">
        <w:rPr>
          <w:lang w:val="es-MX"/>
        </w:rPr>
        <w:t xml:space="preserve"> base de datos de inmigración. Si </w:t>
      </w:r>
      <w:r w:rsidR="00590763">
        <w:rPr>
          <w:lang w:val="es-MX"/>
        </w:rPr>
        <w:t xml:space="preserve">estas verificaciones </w:t>
      </w:r>
      <w:r w:rsidR="006F13E7">
        <w:rPr>
          <w:lang w:val="es-MX"/>
        </w:rPr>
        <w:t xml:space="preserve">revelan que un individuo </w:t>
      </w:r>
      <w:r w:rsidR="002845FA">
        <w:rPr>
          <w:lang w:val="es-MX"/>
        </w:rPr>
        <w:t>está</w:t>
      </w:r>
      <w:r w:rsidR="00A337B9">
        <w:rPr>
          <w:lang w:val="es-MX"/>
        </w:rPr>
        <w:t xml:space="preserve"> </w:t>
      </w:r>
      <w:r w:rsidR="006F13E7">
        <w:rPr>
          <w:lang w:val="es-MX"/>
        </w:rPr>
        <w:t xml:space="preserve"> ilegalmente en los Estados Unidos</w:t>
      </w:r>
      <w:r w:rsidR="00A337B9">
        <w:rPr>
          <w:lang w:val="es-MX"/>
        </w:rPr>
        <w:t>,</w:t>
      </w:r>
      <w:r w:rsidR="006F13E7">
        <w:rPr>
          <w:lang w:val="es-MX"/>
        </w:rPr>
        <w:t xml:space="preserve"> ICE </w:t>
      </w:r>
      <w:r w:rsidR="00590763">
        <w:rPr>
          <w:lang w:val="es-MX"/>
        </w:rPr>
        <w:t>aplica la ley y</w:t>
      </w:r>
      <w:r w:rsidR="00A337B9">
        <w:rPr>
          <w:lang w:val="es-MX"/>
        </w:rPr>
        <w:t xml:space="preserve"> expulsa a los individuos que </w:t>
      </w:r>
      <w:r w:rsidR="00590763">
        <w:rPr>
          <w:lang w:val="es-MX"/>
        </w:rPr>
        <w:t>representa</w:t>
      </w:r>
      <w:r w:rsidR="00A337B9">
        <w:rPr>
          <w:lang w:val="es-MX"/>
        </w:rPr>
        <w:t>n una amenaza para la seguridad pública</w:t>
      </w:r>
      <w:r w:rsidR="002845FA">
        <w:rPr>
          <w:lang w:val="es-MX"/>
        </w:rPr>
        <w:t xml:space="preserve">. </w:t>
      </w:r>
      <w:r w:rsidR="00A337B9">
        <w:rPr>
          <w:lang w:val="es-MX"/>
        </w:rPr>
        <w:t>El programa</w:t>
      </w:r>
      <w:r w:rsidR="00E95128" w:rsidRPr="00E95128">
        <w:rPr>
          <w:lang w:val="es-MX"/>
        </w:rPr>
        <w:t xml:space="preserve"> </w:t>
      </w:r>
      <w:r w:rsidR="00590763" w:rsidRPr="00E95128">
        <w:rPr>
          <w:lang w:val="es-MX"/>
        </w:rPr>
        <w:t>Comunidades</w:t>
      </w:r>
      <w:r w:rsidR="00590763">
        <w:rPr>
          <w:lang w:val="es-MX"/>
        </w:rPr>
        <w:t xml:space="preserve"> Seguras</w:t>
      </w:r>
      <w:r w:rsidR="00A337B9">
        <w:rPr>
          <w:lang w:val="es-MX"/>
        </w:rPr>
        <w:t xml:space="preserve"> terminó</w:t>
      </w:r>
      <w:r w:rsidR="00E95128" w:rsidRPr="00E95128">
        <w:rPr>
          <w:lang w:val="es-MX"/>
        </w:rPr>
        <w:t xml:space="preserve"> en</w:t>
      </w:r>
      <w:r w:rsidR="00590763">
        <w:rPr>
          <w:lang w:val="es-MX"/>
        </w:rPr>
        <w:t xml:space="preserve"> n</w:t>
      </w:r>
      <w:r w:rsidR="00E95128" w:rsidRPr="00E95128">
        <w:rPr>
          <w:lang w:val="es-MX"/>
        </w:rPr>
        <w:t xml:space="preserve">oviembre </w:t>
      </w:r>
      <w:r w:rsidR="00A337B9">
        <w:rPr>
          <w:lang w:val="es-MX"/>
        </w:rPr>
        <w:t xml:space="preserve">del </w:t>
      </w:r>
      <w:r w:rsidR="00E95128" w:rsidRPr="00E95128">
        <w:rPr>
          <w:lang w:val="es-MX"/>
        </w:rPr>
        <w:t xml:space="preserve">2014 </w:t>
      </w:r>
      <w:r w:rsidR="00E95128">
        <w:rPr>
          <w:lang w:val="es-MX"/>
        </w:rPr>
        <w:t xml:space="preserve">y </w:t>
      </w:r>
      <w:r w:rsidR="00A337B9">
        <w:rPr>
          <w:lang w:val="es-MX"/>
        </w:rPr>
        <w:t>fue sustituido con el P</w:t>
      </w:r>
      <w:r w:rsidR="00E95128">
        <w:rPr>
          <w:lang w:val="es-MX"/>
        </w:rPr>
        <w:t xml:space="preserve">rograma </w:t>
      </w:r>
      <w:r w:rsidR="00590763">
        <w:rPr>
          <w:lang w:val="es-MX"/>
        </w:rPr>
        <w:t xml:space="preserve">de Aplicación Prioritaria </w:t>
      </w:r>
      <w:r w:rsidR="00A337B9">
        <w:rPr>
          <w:lang w:val="es-MX"/>
        </w:rPr>
        <w:t>(PEP,</w:t>
      </w:r>
      <w:r w:rsidR="00590763">
        <w:rPr>
          <w:lang w:val="es-MX"/>
        </w:rPr>
        <w:t xml:space="preserve"> por sus siglas en inglé</w:t>
      </w:r>
      <w:r w:rsidR="00573360">
        <w:rPr>
          <w:lang w:val="es-MX"/>
        </w:rPr>
        <w:t xml:space="preserve">s). </w:t>
      </w:r>
      <w:r w:rsidR="00573360" w:rsidRPr="009C1FC4">
        <w:rPr>
          <w:lang w:val="es-MX"/>
        </w:rPr>
        <w:t xml:space="preserve">Ambos programas comparten </w:t>
      </w:r>
      <w:r w:rsidR="00A337B9" w:rsidRPr="009C1FC4">
        <w:rPr>
          <w:lang w:val="es-MX"/>
        </w:rPr>
        <w:t>objetivos similares</w:t>
      </w:r>
      <w:r w:rsidR="00573360" w:rsidRPr="009C1FC4">
        <w:rPr>
          <w:lang w:val="es-MX"/>
        </w:rPr>
        <w:t xml:space="preserve"> </w:t>
      </w:r>
      <w:r w:rsidR="00A337B9" w:rsidRPr="009C1FC4">
        <w:rPr>
          <w:lang w:val="es-MX"/>
        </w:rPr>
        <w:t>para utilizar la fuerza policíaca penal</w:t>
      </w:r>
      <w:r w:rsidR="00573360" w:rsidRPr="009C1FC4">
        <w:rPr>
          <w:lang w:val="es-MX"/>
        </w:rPr>
        <w:t xml:space="preserve"> </w:t>
      </w:r>
      <w:r w:rsidR="00A337B9" w:rsidRPr="009C1FC4">
        <w:rPr>
          <w:lang w:val="es-MX"/>
        </w:rPr>
        <w:t>a</w:t>
      </w:r>
      <w:r w:rsidR="00573360" w:rsidRPr="009C1FC4">
        <w:rPr>
          <w:lang w:val="es-MX"/>
        </w:rPr>
        <w:t xml:space="preserve"> nivel estatal y </w:t>
      </w:r>
      <w:r w:rsidR="00A337B9" w:rsidRPr="009C1FC4">
        <w:rPr>
          <w:lang w:val="es-MX"/>
        </w:rPr>
        <w:t xml:space="preserve">local </w:t>
      </w:r>
      <w:r w:rsidR="00573360" w:rsidRPr="009C1FC4">
        <w:rPr>
          <w:lang w:val="es-MX"/>
        </w:rPr>
        <w:t xml:space="preserve">y </w:t>
      </w:r>
      <w:r w:rsidR="009C1FC4" w:rsidRPr="009C1FC4">
        <w:rPr>
          <w:lang w:val="es-MX"/>
        </w:rPr>
        <w:t xml:space="preserve">las cortes </w:t>
      </w:r>
      <w:r w:rsidR="00A337B9">
        <w:rPr>
          <w:lang w:val="es-MX"/>
        </w:rPr>
        <w:t xml:space="preserve">para la </w:t>
      </w:r>
      <w:r w:rsidR="00573360" w:rsidRPr="00474D3C">
        <w:rPr>
          <w:lang w:val="es-MX"/>
        </w:rPr>
        <w:t xml:space="preserve">aplicación </w:t>
      </w:r>
      <w:r w:rsidR="009C1FC4">
        <w:rPr>
          <w:lang w:val="es-MX"/>
        </w:rPr>
        <w:t xml:space="preserve">civil </w:t>
      </w:r>
      <w:r w:rsidR="00573360" w:rsidRPr="00474D3C">
        <w:rPr>
          <w:lang w:val="es-MX"/>
        </w:rPr>
        <w:t xml:space="preserve">de la </w:t>
      </w:r>
      <w:r w:rsidR="0081488A" w:rsidRPr="00474D3C">
        <w:rPr>
          <w:lang w:val="es-MX"/>
        </w:rPr>
        <w:t>inmigración</w:t>
      </w:r>
      <w:r w:rsidR="00573360" w:rsidRPr="00474D3C">
        <w:rPr>
          <w:lang w:val="es-MX"/>
        </w:rPr>
        <w:t xml:space="preserve"> </w:t>
      </w:r>
      <w:r w:rsidR="00573360">
        <w:rPr>
          <w:lang w:val="es-MX"/>
        </w:rPr>
        <w:t xml:space="preserve">pero diferente en el aspecto </w:t>
      </w:r>
      <w:r w:rsidR="008D4EAE">
        <w:rPr>
          <w:lang w:val="es-MX"/>
        </w:rPr>
        <w:t xml:space="preserve">de </w:t>
      </w:r>
      <w:r w:rsidR="00573360">
        <w:rPr>
          <w:lang w:val="es-MX"/>
        </w:rPr>
        <w:t xml:space="preserve">que ICE </w:t>
      </w:r>
      <w:r w:rsidR="00474D3C">
        <w:rPr>
          <w:lang w:val="es-MX"/>
        </w:rPr>
        <w:t xml:space="preserve">ya </w:t>
      </w:r>
      <w:r w:rsidR="00573360">
        <w:rPr>
          <w:lang w:val="es-MX"/>
        </w:rPr>
        <w:t xml:space="preserve">no requiere que </w:t>
      </w:r>
      <w:r w:rsidR="00474D3C">
        <w:rPr>
          <w:lang w:val="es-MX"/>
        </w:rPr>
        <w:t xml:space="preserve">las agencias </w:t>
      </w:r>
      <w:r w:rsidR="009C1FC4">
        <w:rPr>
          <w:lang w:val="es-MX"/>
        </w:rPr>
        <w:t xml:space="preserve">policiacas </w:t>
      </w:r>
      <w:r w:rsidR="00474D3C">
        <w:rPr>
          <w:lang w:val="es-MX"/>
        </w:rPr>
        <w:t xml:space="preserve">locales </w:t>
      </w:r>
      <w:r w:rsidR="00573360">
        <w:rPr>
          <w:lang w:val="es-MX"/>
        </w:rPr>
        <w:t>detenga</w:t>
      </w:r>
      <w:r w:rsidR="00474D3C">
        <w:rPr>
          <w:lang w:val="es-MX"/>
        </w:rPr>
        <w:t>n</w:t>
      </w:r>
      <w:r w:rsidR="00573360">
        <w:rPr>
          <w:lang w:val="es-MX"/>
        </w:rPr>
        <w:t xml:space="preserve"> a un </w:t>
      </w:r>
      <w:r w:rsidR="008D4EAE">
        <w:rPr>
          <w:lang w:val="es-MX"/>
        </w:rPr>
        <w:t>in</w:t>
      </w:r>
      <w:r w:rsidR="00573360">
        <w:rPr>
          <w:lang w:val="es-MX"/>
        </w:rPr>
        <w:t xml:space="preserve">migrante </w:t>
      </w:r>
      <w:r w:rsidR="00474D3C">
        <w:rPr>
          <w:lang w:val="es-MX"/>
        </w:rPr>
        <w:t>a meno</w:t>
      </w:r>
      <w:r w:rsidR="008D4EAE">
        <w:rPr>
          <w:lang w:val="es-MX"/>
        </w:rPr>
        <w:t>s</w:t>
      </w:r>
      <w:r w:rsidR="00573360">
        <w:rPr>
          <w:lang w:val="es-MX"/>
        </w:rPr>
        <w:t xml:space="preserve"> que </w:t>
      </w:r>
      <w:r w:rsidR="008D4EAE">
        <w:rPr>
          <w:lang w:val="es-MX"/>
        </w:rPr>
        <w:t>haya sido condenado</w:t>
      </w:r>
      <w:r w:rsidR="00573360">
        <w:rPr>
          <w:lang w:val="es-MX"/>
        </w:rPr>
        <w:t xml:space="preserve"> o se considere una amenaza para la seguridad </w:t>
      </w:r>
      <w:r w:rsidR="009C1FC4">
        <w:rPr>
          <w:lang w:val="es-MX"/>
        </w:rPr>
        <w:t xml:space="preserve">nacional </w:t>
      </w:r>
      <w:r w:rsidR="00573360" w:rsidRPr="00573360">
        <w:rPr>
          <w:lang w:val="es-MX"/>
        </w:rPr>
        <w:t>(García and Hernández, 2015).</w:t>
      </w:r>
      <w:r w:rsidR="008D4EAE">
        <w:rPr>
          <w:lang w:val="es-MX"/>
        </w:rPr>
        <w:t xml:space="preserve"> A la</w:t>
      </w:r>
      <w:r w:rsidR="00474D3C">
        <w:rPr>
          <w:lang w:val="es-MX"/>
        </w:rPr>
        <w:t xml:space="preserve"> cobertura sin precedentes de la ley penal y</w:t>
      </w:r>
      <w:r w:rsidR="0081488A">
        <w:rPr>
          <w:lang w:val="es-MX"/>
        </w:rPr>
        <w:t xml:space="preserve"> </w:t>
      </w:r>
      <w:r w:rsidR="008D4EAE">
        <w:rPr>
          <w:lang w:val="es-MX"/>
        </w:rPr>
        <w:t xml:space="preserve">migratoria </w:t>
      </w:r>
      <w:r w:rsidR="00474D3C">
        <w:rPr>
          <w:lang w:val="es-MX"/>
        </w:rPr>
        <w:t>a nivel</w:t>
      </w:r>
      <w:r w:rsidR="008D4EAE">
        <w:rPr>
          <w:lang w:val="es-MX"/>
        </w:rPr>
        <w:t xml:space="preserve"> </w:t>
      </w:r>
      <w:r w:rsidR="0081488A">
        <w:rPr>
          <w:lang w:val="es-MX"/>
        </w:rPr>
        <w:t xml:space="preserve">estatuto, </w:t>
      </w:r>
      <w:r w:rsidR="002258E6">
        <w:rPr>
          <w:lang w:val="es-MX"/>
        </w:rPr>
        <w:t>política</w:t>
      </w:r>
      <w:r w:rsidR="0081488A">
        <w:rPr>
          <w:lang w:val="es-MX"/>
        </w:rPr>
        <w:t xml:space="preserve"> e implementación se </w:t>
      </w:r>
      <w:r w:rsidR="008D4EAE">
        <w:rPr>
          <w:lang w:val="es-MX"/>
        </w:rPr>
        <w:t xml:space="preserve">le conoce </w:t>
      </w:r>
      <w:r w:rsidR="0081488A">
        <w:rPr>
          <w:lang w:val="es-MX"/>
        </w:rPr>
        <w:t xml:space="preserve">como </w:t>
      </w:r>
      <w:r w:rsidR="00474D3C">
        <w:rPr>
          <w:lang w:val="es-MX"/>
        </w:rPr>
        <w:t>“</w:t>
      </w:r>
      <w:r w:rsidR="009C1FC4" w:rsidRPr="00E72ECC">
        <w:rPr>
          <w:lang w:val="es-MX"/>
        </w:rPr>
        <w:t>crimmigración</w:t>
      </w:r>
      <w:r w:rsidR="0081488A" w:rsidRPr="00E72ECC">
        <w:rPr>
          <w:lang w:val="es-MX"/>
        </w:rPr>
        <w:t>”</w:t>
      </w:r>
      <w:r w:rsidR="0081488A" w:rsidRPr="002D209B">
        <w:rPr>
          <w:color w:val="FF0000"/>
          <w:lang w:val="es-MX"/>
        </w:rPr>
        <w:t xml:space="preserve"> </w:t>
      </w:r>
      <w:r w:rsidR="0081488A" w:rsidRPr="0081488A">
        <w:rPr>
          <w:lang w:val="es-MX"/>
        </w:rPr>
        <w:t>(Stumpf, 2006).</w:t>
      </w:r>
    </w:p>
    <w:p w14:paraId="613BC74D" w14:textId="50DF205B" w:rsidR="009C1FC4" w:rsidRDefault="008D4EAE" w:rsidP="00F0717A">
      <w:pPr>
        <w:spacing w:line="480" w:lineRule="auto"/>
        <w:ind w:firstLine="720"/>
        <w:jc w:val="both"/>
        <w:rPr>
          <w:lang w:val="es-MX"/>
        </w:rPr>
      </w:pPr>
      <w:r>
        <w:rPr>
          <w:lang w:val="es-MX"/>
        </w:rPr>
        <w:t>Esta</w:t>
      </w:r>
      <w:r w:rsidR="00873CE4" w:rsidRPr="00873CE4">
        <w:rPr>
          <w:lang w:val="es-MX"/>
        </w:rPr>
        <w:t xml:space="preserve"> </w:t>
      </w:r>
      <w:r w:rsidR="002258E6" w:rsidRPr="00873CE4">
        <w:rPr>
          <w:lang w:val="es-MX"/>
        </w:rPr>
        <w:t>reconstrucción</w:t>
      </w:r>
      <w:r w:rsidR="00E72ECC">
        <w:rPr>
          <w:lang w:val="es-MX"/>
        </w:rPr>
        <w:t>,</w:t>
      </w:r>
      <w:r w:rsidR="00474D3C">
        <w:rPr>
          <w:lang w:val="es-MX"/>
        </w:rPr>
        <w:t xml:space="preserve"> </w:t>
      </w:r>
      <w:r w:rsidR="00873CE4" w:rsidRPr="00873CE4">
        <w:rPr>
          <w:lang w:val="es-MX"/>
        </w:rPr>
        <w:t xml:space="preserve">marcada </w:t>
      </w:r>
      <w:r w:rsidR="00E72ECC">
        <w:rPr>
          <w:lang w:val="es-MX"/>
        </w:rPr>
        <w:t>a gran escala,</w:t>
      </w:r>
      <w:r w:rsidR="00E72ECC" w:rsidRPr="00873CE4">
        <w:rPr>
          <w:lang w:val="es-MX"/>
        </w:rPr>
        <w:t xml:space="preserve"> </w:t>
      </w:r>
      <w:r w:rsidR="00873CE4" w:rsidRPr="00873CE4">
        <w:rPr>
          <w:lang w:val="es-MX"/>
        </w:rPr>
        <w:t xml:space="preserve">por  un cambio </w:t>
      </w:r>
      <w:r w:rsidR="00873CE4">
        <w:rPr>
          <w:lang w:val="es-MX"/>
        </w:rPr>
        <w:t xml:space="preserve">de </w:t>
      </w:r>
      <w:r w:rsidR="002258E6">
        <w:rPr>
          <w:lang w:val="es-MX"/>
        </w:rPr>
        <w:t>política</w:t>
      </w:r>
      <w:r w:rsidR="00474D3C">
        <w:rPr>
          <w:lang w:val="es-MX"/>
        </w:rPr>
        <w:t xml:space="preserve"> </w:t>
      </w:r>
      <w:r w:rsidR="00474D3C" w:rsidRPr="009C1FC4">
        <w:rPr>
          <w:lang w:val="es-MX"/>
        </w:rPr>
        <w:t>migratoria</w:t>
      </w:r>
      <w:r w:rsidR="00873CE4" w:rsidRPr="009C1FC4">
        <w:rPr>
          <w:lang w:val="es-MX"/>
        </w:rPr>
        <w:t xml:space="preserve"> nacional a local</w:t>
      </w:r>
      <w:r w:rsidR="00E72ECC">
        <w:rPr>
          <w:lang w:val="es-MX"/>
        </w:rPr>
        <w:t>,</w:t>
      </w:r>
      <w:r w:rsidR="00873CE4" w:rsidRPr="009C1FC4">
        <w:rPr>
          <w:lang w:val="es-MX"/>
        </w:rPr>
        <w:t xml:space="preserve"> </w:t>
      </w:r>
      <w:r w:rsidR="002258E6" w:rsidRPr="009C1FC4">
        <w:rPr>
          <w:lang w:val="es-MX"/>
        </w:rPr>
        <w:t xml:space="preserve">dio </w:t>
      </w:r>
      <w:r w:rsidRPr="009C1FC4">
        <w:rPr>
          <w:lang w:val="es-MX"/>
        </w:rPr>
        <w:t xml:space="preserve">origen a </w:t>
      </w:r>
      <w:r w:rsidR="009C1FC4" w:rsidRPr="009C1FC4">
        <w:rPr>
          <w:lang w:val="es-MX"/>
        </w:rPr>
        <w:t>un</w:t>
      </w:r>
      <w:r w:rsidR="00474D3C" w:rsidRPr="009C1FC4">
        <w:rPr>
          <w:lang w:val="es-MX"/>
        </w:rPr>
        <w:t xml:space="preserve"> </w:t>
      </w:r>
      <w:r w:rsidR="002258E6" w:rsidRPr="009C1FC4">
        <w:rPr>
          <w:lang w:val="es-MX"/>
        </w:rPr>
        <w:t xml:space="preserve">nuevo </w:t>
      </w:r>
      <w:r w:rsidR="002D209B" w:rsidRPr="009C1FC4">
        <w:rPr>
          <w:lang w:val="es-MX"/>
        </w:rPr>
        <w:t xml:space="preserve">régimen </w:t>
      </w:r>
      <w:r w:rsidR="002258E6" w:rsidRPr="009C1FC4">
        <w:rPr>
          <w:lang w:val="es-MX"/>
        </w:rPr>
        <w:t>en la a</w:t>
      </w:r>
      <w:r w:rsidR="00474D3C" w:rsidRPr="009C1FC4">
        <w:rPr>
          <w:lang w:val="es-MX"/>
        </w:rPr>
        <w:t xml:space="preserve">plicación </w:t>
      </w:r>
      <w:r w:rsidRPr="009C1FC4">
        <w:rPr>
          <w:lang w:val="es-MX"/>
        </w:rPr>
        <w:t xml:space="preserve">migratoria </w:t>
      </w:r>
      <w:r w:rsidR="00474D3C" w:rsidRPr="009C1FC4">
        <w:rPr>
          <w:lang w:val="es-MX"/>
        </w:rPr>
        <w:t>que</w:t>
      </w:r>
      <w:r w:rsidR="009C1FC4" w:rsidRPr="009C1FC4">
        <w:rPr>
          <w:lang w:val="es-MX"/>
        </w:rPr>
        <w:t xml:space="preserve"> hace que l</w:t>
      </w:r>
      <w:r w:rsidRPr="009C1FC4">
        <w:rPr>
          <w:lang w:val="es-MX"/>
        </w:rPr>
        <w:t>a</w:t>
      </w:r>
      <w:r w:rsidR="002258E6" w:rsidRPr="009C1FC4">
        <w:rPr>
          <w:lang w:val="es-MX"/>
        </w:rPr>
        <w:t xml:space="preserve"> distinción entre </w:t>
      </w:r>
      <w:r w:rsidR="002258E6">
        <w:rPr>
          <w:lang w:val="es-MX"/>
        </w:rPr>
        <w:t>los</w:t>
      </w:r>
      <w:r w:rsidR="00474D3C">
        <w:rPr>
          <w:lang w:val="es-MX"/>
        </w:rPr>
        <w:t xml:space="preserve"> nuevos ciudadanos y </w:t>
      </w:r>
      <w:r w:rsidR="009211D8">
        <w:rPr>
          <w:lang w:val="es-MX"/>
        </w:rPr>
        <w:t xml:space="preserve">los </w:t>
      </w:r>
      <w:r w:rsidR="00474D3C">
        <w:rPr>
          <w:lang w:val="es-MX"/>
        </w:rPr>
        <w:t>no</w:t>
      </w:r>
      <w:r>
        <w:rPr>
          <w:lang w:val="es-MX"/>
        </w:rPr>
        <w:t xml:space="preserve"> ciudadanos</w:t>
      </w:r>
      <w:r w:rsidR="009C1FC4">
        <w:rPr>
          <w:lang w:val="es-MX"/>
        </w:rPr>
        <w:t>,</w:t>
      </w:r>
      <w:r w:rsidR="009C1FC4" w:rsidRPr="009C1FC4">
        <w:rPr>
          <w:lang w:val="es-MX"/>
        </w:rPr>
        <w:t xml:space="preserve"> </w:t>
      </w:r>
      <w:r w:rsidR="009C1FC4">
        <w:rPr>
          <w:lang w:val="es-MX"/>
        </w:rPr>
        <w:t>sea más importante que antes</w:t>
      </w:r>
      <w:r w:rsidR="00474D3C">
        <w:rPr>
          <w:lang w:val="es-MX"/>
        </w:rPr>
        <w:t>.</w:t>
      </w:r>
      <w:r w:rsidR="002258E6">
        <w:rPr>
          <w:lang w:val="es-MX"/>
        </w:rPr>
        <w:t xml:space="preserve"> (Coutin 2011)</w:t>
      </w:r>
      <w:r>
        <w:rPr>
          <w:lang w:val="es-MX"/>
        </w:rPr>
        <w:t xml:space="preserve">. </w:t>
      </w:r>
      <w:r w:rsidR="002258E6">
        <w:rPr>
          <w:lang w:val="es-MX"/>
        </w:rPr>
        <w:t xml:space="preserve"> </w:t>
      </w:r>
    </w:p>
    <w:p w14:paraId="41253109" w14:textId="1CB98C64" w:rsidR="00205920" w:rsidRPr="00205920" w:rsidRDefault="002258E6" w:rsidP="00F0717A">
      <w:pPr>
        <w:spacing w:line="480" w:lineRule="auto"/>
        <w:ind w:firstLine="720"/>
        <w:jc w:val="both"/>
        <w:rPr>
          <w:lang w:val="es-MX"/>
        </w:rPr>
      </w:pPr>
      <w:r w:rsidRPr="002258E6">
        <w:rPr>
          <w:lang w:val="es-MX"/>
        </w:rPr>
        <w:t>Los programas,</w:t>
      </w:r>
      <w:r w:rsidR="00474D3C">
        <w:rPr>
          <w:lang w:val="es-MX"/>
        </w:rPr>
        <w:t xml:space="preserve"> </w:t>
      </w:r>
      <w:r w:rsidRPr="002258E6">
        <w:rPr>
          <w:lang w:val="es-MX"/>
        </w:rPr>
        <w:t>como los que se mencionaron anteriormente, fueron implementados sin</w:t>
      </w:r>
      <w:r w:rsidR="00474D3C">
        <w:rPr>
          <w:lang w:val="es-MX"/>
        </w:rPr>
        <w:t xml:space="preserve"> </w:t>
      </w:r>
      <w:r w:rsidR="009C1FC4">
        <w:rPr>
          <w:lang w:val="es-MX"/>
        </w:rPr>
        <w:t xml:space="preserve">ninguna </w:t>
      </w:r>
      <w:r w:rsidR="00474D3C">
        <w:rPr>
          <w:lang w:val="es-MX"/>
        </w:rPr>
        <w:t xml:space="preserve">protección en contra del perfil racial y como pretexto de las detenciones dirigidas hacia </w:t>
      </w:r>
      <w:r w:rsidR="006735A9">
        <w:rPr>
          <w:lang w:val="es-MX"/>
        </w:rPr>
        <w:t xml:space="preserve">aquellos que se sospechaba que eran indocumentados (Provine et al. 2016).  Los reportes de las </w:t>
      </w:r>
      <w:r w:rsidR="00474D3C">
        <w:rPr>
          <w:lang w:val="es-MX"/>
        </w:rPr>
        <w:t xml:space="preserve">políticas en el </w:t>
      </w:r>
      <w:r w:rsidR="00A90796">
        <w:rPr>
          <w:lang w:val="es-MX"/>
        </w:rPr>
        <w:t xml:space="preserve">Programa Comunidades Seguras, </w:t>
      </w:r>
      <w:r w:rsidR="00474D3C">
        <w:rPr>
          <w:lang w:val="es-MX"/>
        </w:rPr>
        <w:t xml:space="preserve">se enfocaron en el </w:t>
      </w:r>
      <w:r w:rsidR="00474D3C" w:rsidRPr="006735A9">
        <w:rPr>
          <w:lang w:val="es-MX"/>
        </w:rPr>
        <w:t xml:space="preserve">perfil racial y </w:t>
      </w:r>
      <w:r w:rsidR="00E72ECC">
        <w:rPr>
          <w:lang w:val="es-MX"/>
        </w:rPr>
        <w:t xml:space="preserve">en </w:t>
      </w:r>
      <w:r w:rsidR="00474D3C" w:rsidRPr="006735A9">
        <w:rPr>
          <w:lang w:val="es-MX"/>
        </w:rPr>
        <w:t>un número desproporcionado de latinos</w:t>
      </w:r>
      <w:r w:rsidRPr="006735A9">
        <w:rPr>
          <w:lang w:val="es-MX"/>
        </w:rPr>
        <w:t xml:space="preserve"> </w:t>
      </w:r>
      <w:r w:rsidR="00205920" w:rsidRPr="006735A9">
        <w:rPr>
          <w:lang w:val="es-MX"/>
        </w:rPr>
        <w:t>arrestados, de</w:t>
      </w:r>
      <w:r w:rsidR="006735A9">
        <w:rPr>
          <w:lang w:val="es-MX"/>
        </w:rPr>
        <w:t>tenidos o puestos bajo arresto</w:t>
      </w:r>
      <w:r w:rsidR="00205920" w:rsidRPr="002D209B">
        <w:rPr>
          <w:color w:val="FF0000"/>
          <w:lang w:val="es-MX"/>
        </w:rPr>
        <w:t xml:space="preserve">.  </w:t>
      </w:r>
      <w:r w:rsidR="00205920" w:rsidRPr="00205920">
        <w:rPr>
          <w:lang w:val="es-MX"/>
        </w:rPr>
        <w:t xml:space="preserve">(Provine et al., 2016). </w:t>
      </w:r>
      <w:r w:rsidR="00474D3C">
        <w:rPr>
          <w:lang w:val="es-MX"/>
        </w:rPr>
        <w:t xml:space="preserve">El </w:t>
      </w:r>
      <w:r w:rsidR="00A90796">
        <w:rPr>
          <w:lang w:val="es-MX"/>
        </w:rPr>
        <w:t xml:space="preserve">Programa Comunidades Seguras </w:t>
      </w:r>
      <w:r w:rsidR="00474D3C">
        <w:rPr>
          <w:lang w:val="es-MX"/>
        </w:rPr>
        <w:t>no logr</w:t>
      </w:r>
      <w:r w:rsidR="00A90796">
        <w:rPr>
          <w:lang w:val="es-MX"/>
        </w:rPr>
        <w:t>ó</w:t>
      </w:r>
      <w:r w:rsidR="00474D3C">
        <w:rPr>
          <w:lang w:val="es-MX"/>
        </w:rPr>
        <w:t xml:space="preserve"> sus metas propuestas donde la mitad de los detenidos no había tenido ningún arresto previo o únicamente infracciones menores </w:t>
      </w:r>
      <w:r w:rsidR="00205920" w:rsidRPr="00205920">
        <w:rPr>
          <w:lang w:val="es-MX"/>
        </w:rPr>
        <w:t xml:space="preserve">(Provine et al., 2016).  </w:t>
      </w:r>
      <w:r w:rsidR="00205920">
        <w:rPr>
          <w:lang w:val="es-MX"/>
        </w:rPr>
        <w:t>Las organizaciones de defensa</w:t>
      </w:r>
      <w:r w:rsidR="00A90796">
        <w:rPr>
          <w:lang w:val="es-MX"/>
        </w:rPr>
        <w:t xml:space="preserve"> a lo largo de la frontera </w:t>
      </w:r>
      <w:r w:rsidR="00BD275C">
        <w:rPr>
          <w:lang w:val="es-MX"/>
        </w:rPr>
        <w:t xml:space="preserve">Estados Unidos – </w:t>
      </w:r>
      <w:r w:rsidR="00A90796">
        <w:rPr>
          <w:lang w:val="es-MX"/>
        </w:rPr>
        <w:t>México</w:t>
      </w:r>
      <w:r w:rsidR="00BD275C">
        <w:rPr>
          <w:lang w:val="es-MX"/>
        </w:rPr>
        <w:t xml:space="preserve"> </w:t>
      </w:r>
      <w:r w:rsidR="00BD275C">
        <w:rPr>
          <w:lang w:val="es-MX"/>
        </w:rPr>
        <w:lastRenderedPageBreak/>
        <w:t>argumentaron que la vigilanci</w:t>
      </w:r>
      <w:r w:rsidR="00A90796">
        <w:rPr>
          <w:lang w:val="es-MX"/>
        </w:rPr>
        <w:t>a a nombre de la seguridad nacional no era congruente</w:t>
      </w:r>
      <w:r w:rsidR="00BD275C">
        <w:rPr>
          <w:lang w:val="es-MX"/>
        </w:rPr>
        <w:t xml:space="preserve"> con “la seguridad de la comunidad” </w:t>
      </w:r>
      <w:r w:rsidR="00205920">
        <w:rPr>
          <w:lang w:val="es-MX"/>
        </w:rPr>
        <w:t xml:space="preserve">dado que el incremento en la vigilancia contribuye a la </w:t>
      </w:r>
      <w:r w:rsidR="006735A9">
        <w:rPr>
          <w:lang w:val="es-MX"/>
        </w:rPr>
        <w:t xml:space="preserve">marginalización </w:t>
      </w:r>
      <w:r w:rsidR="00205920">
        <w:rPr>
          <w:lang w:val="es-MX"/>
        </w:rPr>
        <w:t>de la región</w:t>
      </w:r>
      <w:r w:rsidR="00BD275C">
        <w:rPr>
          <w:lang w:val="es-MX"/>
        </w:rPr>
        <w:t xml:space="preserve"> fronteriza y a la criminalización de sus comunidades</w:t>
      </w:r>
      <w:r w:rsidR="00E72ECC">
        <w:rPr>
          <w:lang w:val="es-MX"/>
        </w:rPr>
        <w:t>,</w:t>
      </w:r>
      <w:r w:rsidR="00BD275C">
        <w:rPr>
          <w:lang w:val="es-MX"/>
        </w:rPr>
        <w:t xml:space="preserve"> mayormente latinas</w:t>
      </w:r>
      <w:r w:rsidR="00205920">
        <w:rPr>
          <w:lang w:val="es-MX"/>
        </w:rPr>
        <w:t xml:space="preserve"> </w:t>
      </w:r>
      <w:r w:rsidR="00BD275C">
        <w:rPr>
          <w:lang w:val="es-MX"/>
        </w:rPr>
        <w:t>(</w:t>
      </w:r>
      <w:r w:rsidR="009837D6">
        <w:rPr>
          <w:lang w:val="es-MX"/>
        </w:rPr>
        <w:t>Saenz y</w:t>
      </w:r>
      <w:r w:rsidR="00205920" w:rsidRPr="00205920">
        <w:rPr>
          <w:lang w:val="es-MX"/>
        </w:rPr>
        <w:t xml:space="preserve"> Morales, 2015).  </w:t>
      </w:r>
      <w:r w:rsidR="00A90796">
        <w:rPr>
          <w:lang w:val="es-MX"/>
        </w:rPr>
        <w:t>Aún</w:t>
      </w:r>
      <w:r w:rsidR="00BD275C">
        <w:rPr>
          <w:lang w:val="es-MX"/>
        </w:rPr>
        <w:t xml:space="preserve"> </w:t>
      </w:r>
      <w:r w:rsidR="00C062D5">
        <w:rPr>
          <w:lang w:val="es-MX"/>
        </w:rPr>
        <w:t>m</w:t>
      </w:r>
      <w:r w:rsidR="00A90796">
        <w:rPr>
          <w:lang w:val="es-MX"/>
        </w:rPr>
        <w:t>á</w:t>
      </w:r>
      <w:r w:rsidR="00C062D5">
        <w:rPr>
          <w:lang w:val="es-MX"/>
        </w:rPr>
        <w:t>s,</w:t>
      </w:r>
      <w:r w:rsidR="006735A9">
        <w:rPr>
          <w:lang w:val="es-MX"/>
        </w:rPr>
        <w:t xml:space="preserve"> se ha probado que algunas de est</w:t>
      </w:r>
      <w:r w:rsidR="002D209B">
        <w:rPr>
          <w:lang w:val="es-MX"/>
        </w:rPr>
        <w:t xml:space="preserve">as </w:t>
      </w:r>
      <w:r w:rsidR="00BD275C">
        <w:rPr>
          <w:lang w:val="es-MX"/>
        </w:rPr>
        <w:t xml:space="preserve">iniciativas de </w:t>
      </w:r>
      <w:r w:rsidR="00C062D5">
        <w:rPr>
          <w:lang w:val="es-MX"/>
        </w:rPr>
        <w:t>políticas</w:t>
      </w:r>
      <w:r w:rsidR="00BD275C">
        <w:rPr>
          <w:lang w:val="es-MX"/>
        </w:rPr>
        <w:t xml:space="preserve"> </w:t>
      </w:r>
      <w:r w:rsidR="00A90796">
        <w:rPr>
          <w:lang w:val="es-MX"/>
        </w:rPr>
        <w:t xml:space="preserve">no han sido efectivas </w:t>
      </w:r>
      <w:r w:rsidR="00BD275C">
        <w:rPr>
          <w:lang w:val="es-MX"/>
        </w:rPr>
        <w:t xml:space="preserve">y/o </w:t>
      </w:r>
      <w:r w:rsidR="002D209B">
        <w:rPr>
          <w:lang w:val="es-MX"/>
        </w:rPr>
        <w:t xml:space="preserve">que </w:t>
      </w:r>
      <w:r w:rsidR="006735A9">
        <w:rPr>
          <w:lang w:val="es-MX"/>
        </w:rPr>
        <w:t xml:space="preserve">violan </w:t>
      </w:r>
      <w:r w:rsidR="00A90796">
        <w:rPr>
          <w:lang w:val="es-MX"/>
        </w:rPr>
        <w:t>los</w:t>
      </w:r>
      <w:r w:rsidR="00BD275C">
        <w:rPr>
          <w:lang w:val="es-MX"/>
        </w:rPr>
        <w:t xml:space="preserve"> derechos civiles. </w:t>
      </w:r>
    </w:p>
    <w:p w14:paraId="63E6AFCD" w14:textId="10F3F058" w:rsidR="00205920" w:rsidRPr="00C062D5" w:rsidRDefault="00A90796" w:rsidP="00F0717A">
      <w:pPr>
        <w:spacing w:line="480" w:lineRule="auto"/>
        <w:ind w:firstLine="720"/>
        <w:jc w:val="both"/>
        <w:rPr>
          <w:lang w:val="es-MX"/>
        </w:rPr>
      </w:pPr>
      <w:r>
        <w:rPr>
          <w:lang w:val="es-MX"/>
        </w:rPr>
        <w:t>En el 2012, e</w:t>
      </w:r>
      <w:r w:rsidR="00C062D5">
        <w:rPr>
          <w:lang w:val="es-MX"/>
        </w:rPr>
        <w:t>n el caso</w:t>
      </w:r>
      <w:r w:rsidR="00205920" w:rsidRPr="00205920">
        <w:rPr>
          <w:lang w:val="es-MX"/>
        </w:rPr>
        <w:t xml:space="preserve"> </w:t>
      </w:r>
      <w:r w:rsidR="00205920" w:rsidRPr="006735A9">
        <w:rPr>
          <w:i/>
          <w:lang w:val="es-MX"/>
        </w:rPr>
        <w:t>Arizona vs. Estados Unidos</w:t>
      </w:r>
      <w:r>
        <w:rPr>
          <w:lang w:val="es-MX"/>
        </w:rPr>
        <w:t>,</w:t>
      </w:r>
      <w:r w:rsidR="00205920">
        <w:rPr>
          <w:lang w:val="es-MX"/>
        </w:rPr>
        <w:t xml:space="preserve"> </w:t>
      </w:r>
      <w:r w:rsidR="00C062D5">
        <w:rPr>
          <w:lang w:val="es-MX"/>
        </w:rPr>
        <w:t xml:space="preserve">el gobierno federal bloqueó </w:t>
      </w:r>
      <w:r w:rsidR="00E1409A">
        <w:rPr>
          <w:lang w:val="es-MX"/>
        </w:rPr>
        <w:t>algunas</w:t>
      </w:r>
      <w:r w:rsidR="00C062D5">
        <w:rPr>
          <w:lang w:val="es-MX"/>
        </w:rPr>
        <w:t xml:space="preserve"> de las disposiciones detrás de la</w:t>
      </w:r>
      <w:r w:rsidR="00E1409A">
        <w:rPr>
          <w:lang w:val="es-MX"/>
        </w:rPr>
        <w:t xml:space="preserve"> SB1070 y otras leyes estatales</w:t>
      </w:r>
      <w:r>
        <w:rPr>
          <w:lang w:val="es-MX"/>
        </w:rPr>
        <w:t xml:space="preserve"> similares en Alabama, Georgia e </w:t>
      </w:r>
      <w:r w:rsidR="00E1409A">
        <w:rPr>
          <w:lang w:val="es-MX"/>
        </w:rPr>
        <w:t>Indiana</w:t>
      </w:r>
      <w:r w:rsidR="00C062D5">
        <w:rPr>
          <w:lang w:val="es-MX"/>
        </w:rPr>
        <w:t>, entre otra</w:t>
      </w:r>
      <w:r w:rsidR="00E1409A">
        <w:rPr>
          <w:lang w:val="es-MX"/>
        </w:rPr>
        <w:t xml:space="preserve">s </w:t>
      </w:r>
      <w:r w:rsidR="00E1409A" w:rsidRPr="00E1409A">
        <w:rPr>
          <w:lang w:val="es-MX"/>
        </w:rPr>
        <w:t xml:space="preserve">(Provine et al., 2016).  </w:t>
      </w:r>
      <w:r w:rsidR="00C062D5">
        <w:rPr>
          <w:lang w:val="es-MX"/>
        </w:rPr>
        <w:t xml:space="preserve">La </w:t>
      </w:r>
      <w:r w:rsidR="00E1409A" w:rsidRPr="00E1409A">
        <w:rPr>
          <w:lang w:val="es-MX"/>
        </w:rPr>
        <w:t>287(g)</w:t>
      </w:r>
      <w:r w:rsidR="00E1409A">
        <w:rPr>
          <w:lang w:val="es-MX"/>
        </w:rPr>
        <w:t xml:space="preserve"> ha </w:t>
      </w:r>
      <w:r w:rsidR="00C062D5">
        <w:rPr>
          <w:lang w:val="es-MX"/>
        </w:rPr>
        <w:t>o</w:t>
      </w:r>
      <w:r w:rsidR="006735A9">
        <w:rPr>
          <w:lang w:val="es-MX"/>
        </w:rPr>
        <w:t xml:space="preserve">casionado </w:t>
      </w:r>
      <w:r w:rsidR="00C062D5">
        <w:rPr>
          <w:lang w:val="es-MX"/>
        </w:rPr>
        <w:t xml:space="preserve">mayor temor y desconfianza contra la aplicación </w:t>
      </w:r>
      <w:r>
        <w:rPr>
          <w:lang w:val="es-MX"/>
        </w:rPr>
        <w:t>de la ley entre los inmigrantes</w:t>
      </w:r>
      <w:r w:rsidR="00C062D5">
        <w:rPr>
          <w:lang w:val="es-MX"/>
        </w:rPr>
        <w:t xml:space="preserve"> </w:t>
      </w:r>
      <w:r w:rsidR="00E72ECC">
        <w:rPr>
          <w:lang w:val="es-MX"/>
        </w:rPr>
        <w:t xml:space="preserve">y </w:t>
      </w:r>
      <w:r>
        <w:rPr>
          <w:lang w:val="es-MX"/>
        </w:rPr>
        <w:t xml:space="preserve">puso en riesgo </w:t>
      </w:r>
      <w:r w:rsidR="00C062D5">
        <w:rPr>
          <w:lang w:val="es-MX"/>
        </w:rPr>
        <w:t xml:space="preserve">las relaciones </w:t>
      </w:r>
      <w:r>
        <w:rPr>
          <w:lang w:val="es-MX"/>
        </w:rPr>
        <w:t xml:space="preserve">entre la comunidad </w:t>
      </w:r>
      <w:r w:rsidR="00C062D5">
        <w:rPr>
          <w:lang w:val="es-MX"/>
        </w:rPr>
        <w:t xml:space="preserve">y la policía </w:t>
      </w:r>
      <w:r w:rsidR="009837D6">
        <w:rPr>
          <w:lang w:val="es-MX"/>
        </w:rPr>
        <w:t>(Nygun y</w:t>
      </w:r>
      <w:r w:rsidR="00E1409A">
        <w:rPr>
          <w:lang w:val="es-MX"/>
        </w:rPr>
        <w:t xml:space="preserve"> Gill, 2016). Actual</w:t>
      </w:r>
      <w:r w:rsidR="00C062D5">
        <w:rPr>
          <w:lang w:val="es-MX"/>
        </w:rPr>
        <w:t xml:space="preserve">mente, </w:t>
      </w:r>
      <w:r w:rsidR="002D209B">
        <w:rPr>
          <w:lang w:val="es-MX"/>
        </w:rPr>
        <w:t xml:space="preserve">la 286 (g) </w:t>
      </w:r>
      <w:r w:rsidR="006735A9">
        <w:rPr>
          <w:lang w:val="es-MX"/>
        </w:rPr>
        <w:t xml:space="preserve">ha sido eliminada </w:t>
      </w:r>
      <w:r>
        <w:rPr>
          <w:lang w:val="es-MX"/>
        </w:rPr>
        <w:t>debido a que es muy costosa</w:t>
      </w:r>
      <w:r w:rsidR="00E1409A">
        <w:rPr>
          <w:lang w:val="es-MX"/>
        </w:rPr>
        <w:t xml:space="preserve"> e ineficiente </w:t>
      </w:r>
      <w:r w:rsidR="00E1409A" w:rsidRPr="00E1409A">
        <w:rPr>
          <w:lang w:val="es-MX"/>
        </w:rPr>
        <w:t>(Provine et al., 2016),</w:t>
      </w:r>
      <w:r w:rsidR="00E1409A">
        <w:rPr>
          <w:lang w:val="es-MX"/>
        </w:rPr>
        <w:t xml:space="preserve"> aunque</w:t>
      </w:r>
      <w:r w:rsidR="00C062D5">
        <w:rPr>
          <w:lang w:val="es-MX"/>
        </w:rPr>
        <w:t xml:space="preserve"> </w:t>
      </w:r>
      <w:r w:rsidR="006735A9">
        <w:rPr>
          <w:lang w:val="es-MX"/>
        </w:rPr>
        <w:t xml:space="preserve">es </w:t>
      </w:r>
      <w:r>
        <w:rPr>
          <w:lang w:val="es-MX"/>
        </w:rPr>
        <w:t>incierto</w:t>
      </w:r>
      <w:r w:rsidR="00C062D5">
        <w:rPr>
          <w:lang w:val="es-MX"/>
        </w:rPr>
        <w:t xml:space="preserve"> </w:t>
      </w:r>
      <w:r w:rsidR="006735A9">
        <w:rPr>
          <w:lang w:val="es-MX"/>
        </w:rPr>
        <w:t>si ésta regresará</w:t>
      </w:r>
      <w:r w:rsidR="00E1409A">
        <w:rPr>
          <w:lang w:val="es-MX"/>
        </w:rPr>
        <w:t xml:space="preserve"> bajo la presidencia de Donald Trump. </w:t>
      </w:r>
    </w:p>
    <w:p w14:paraId="172E555F" w14:textId="5F712DD9" w:rsidR="00E1409A" w:rsidRPr="00917761" w:rsidRDefault="00C062D5" w:rsidP="00F0717A">
      <w:pPr>
        <w:spacing w:line="480" w:lineRule="auto"/>
        <w:ind w:firstLine="720"/>
        <w:jc w:val="both"/>
        <w:rPr>
          <w:rFonts w:eastAsia="Calibri"/>
          <w:lang w:val="es-MX"/>
        </w:rPr>
      </w:pPr>
      <w:r>
        <w:rPr>
          <w:rFonts w:eastAsia="Calibri"/>
          <w:lang w:val="es-MX"/>
        </w:rPr>
        <w:t xml:space="preserve">Incluso en las </w:t>
      </w:r>
      <w:r w:rsidR="00A90796">
        <w:rPr>
          <w:rFonts w:eastAsia="Calibri"/>
          <w:lang w:val="es-MX"/>
        </w:rPr>
        <w:t xml:space="preserve">localidades </w:t>
      </w:r>
      <w:r>
        <w:rPr>
          <w:rFonts w:eastAsia="Calibri"/>
          <w:lang w:val="es-MX"/>
        </w:rPr>
        <w:t xml:space="preserve">donde </w:t>
      </w:r>
      <w:r w:rsidR="00E72ECC">
        <w:rPr>
          <w:rFonts w:eastAsia="Calibri"/>
          <w:lang w:val="es-MX"/>
        </w:rPr>
        <w:t xml:space="preserve">agencias policiacas </w:t>
      </w:r>
      <w:r>
        <w:rPr>
          <w:rFonts w:eastAsia="Calibri"/>
          <w:lang w:val="es-MX"/>
        </w:rPr>
        <w:t>estatales</w:t>
      </w:r>
      <w:r w:rsidR="00A90796">
        <w:rPr>
          <w:rFonts w:eastAsia="Calibri"/>
          <w:lang w:val="es-MX"/>
        </w:rPr>
        <w:t>, de</w:t>
      </w:r>
      <w:r w:rsidR="00D84DE3">
        <w:rPr>
          <w:rFonts w:eastAsia="Calibri"/>
          <w:lang w:val="es-MX"/>
        </w:rPr>
        <w:t>l</w:t>
      </w:r>
      <w:r>
        <w:rPr>
          <w:rFonts w:eastAsia="Calibri"/>
          <w:lang w:val="es-MX"/>
        </w:rPr>
        <w:t xml:space="preserve"> condado y locales no </w:t>
      </w:r>
      <w:r w:rsidR="006735A9">
        <w:rPr>
          <w:rFonts w:eastAsia="Calibri"/>
          <w:lang w:val="es-MX"/>
        </w:rPr>
        <w:t>ha</w:t>
      </w:r>
      <w:r w:rsidR="00E72ECC">
        <w:rPr>
          <w:rFonts w:eastAsia="Calibri"/>
          <w:lang w:val="es-MX"/>
        </w:rPr>
        <w:t>n</w:t>
      </w:r>
      <w:r w:rsidR="006735A9">
        <w:rPr>
          <w:rFonts w:eastAsia="Calibri"/>
          <w:lang w:val="es-MX"/>
        </w:rPr>
        <w:t xml:space="preserve"> celebrado acuerdos </w:t>
      </w:r>
      <w:r>
        <w:rPr>
          <w:rFonts w:eastAsia="Calibri"/>
          <w:lang w:val="es-MX"/>
        </w:rPr>
        <w:t xml:space="preserve">con el gobierno federal para participar en la aplicación de las leyes </w:t>
      </w:r>
      <w:r w:rsidR="00A90796">
        <w:rPr>
          <w:rFonts w:eastAsia="Calibri"/>
          <w:lang w:val="es-MX"/>
        </w:rPr>
        <w:t>migratorias</w:t>
      </w:r>
      <w:r w:rsidR="006735A9">
        <w:rPr>
          <w:rFonts w:eastAsia="Calibri"/>
          <w:lang w:val="es-MX"/>
        </w:rPr>
        <w:t xml:space="preserve">, las agencias policiacas </w:t>
      </w:r>
      <w:r>
        <w:rPr>
          <w:rFonts w:eastAsia="Calibri"/>
          <w:lang w:val="es-MX"/>
        </w:rPr>
        <w:t xml:space="preserve">locales </w:t>
      </w:r>
      <w:r w:rsidR="00D84DE3">
        <w:rPr>
          <w:rFonts w:eastAsia="Calibri"/>
          <w:lang w:val="es-MX"/>
        </w:rPr>
        <w:t>tiene</w:t>
      </w:r>
      <w:r w:rsidR="006735A9">
        <w:rPr>
          <w:rFonts w:eastAsia="Calibri"/>
          <w:lang w:val="es-MX"/>
        </w:rPr>
        <w:t>n</w:t>
      </w:r>
      <w:r>
        <w:rPr>
          <w:rFonts w:eastAsia="Calibri"/>
          <w:lang w:val="es-MX"/>
        </w:rPr>
        <w:t xml:space="preserve"> encuentros con los inmigrantes</w:t>
      </w:r>
      <w:r w:rsidR="00A90796">
        <w:rPr>
          <w:rFonts w:eastAsia="Calibri"/>
          <w:lang w:val="es-MX"/>
        </w:rPr>
        <w:t>, a diario</w:t>
      </w:r>
      <w:r>
        <w:rPr>
          <w:rFonts w:eastAsia="Calibri"/>
          <w:lang w:val="es-MX"/>
        </w:rPr>
        <w:t xml:space="preserve">. </w:t>
      </w:r>
      <w:r w:rsidR="00917761">
        <w:rPr>
          <w:rFonts w:eastAsia="Calibri"/>
          <w:lang w:val="es-MX"/>
        </w:rPr>
        <w:t>Los académicos han argumentado que el</w:t>
      </w:r>
      <w:r>
        <w:rPr>
          <w:rFonts w:eastAsia="Calibri"/>
          <w:lang w:val="es-MX"/>
        </w:rPr>
        <w:t xml:space="preserve"> aumento en la vigilancia migratoria a nivel local </w:t>
      </w:r>
      <w:r w:rsidR="00D84DE3">
        <w:rPr>
          <w:rFonts w:eastAsia="Calibri"/>
          <w:lang w:val="es-MX"/>
        </w:rPr>
        <w:t xml:space="preserve">es la respuesta a un incremento rápido en el crecimiento de la población inmigrante y/o en la población </w:t>
      </w:r>
      <w:r w:rsidR="006735A9">
        <w:rPr>
          <w:rFonts w:eastAsia="Calibri"/>
          <w:lang w:val="es-MX"/>
        </w:rPr>
        <w:t>“</w:t>
      </w:r>
      <w:r w:rsidR="00D84DE3">
        <w:rPr>
          <w:rFonts w:eastAsia="Calibri"/>
          <w:lang w:val="es-MX"/>
        </w:rPr>
        <w:t>café</w:t>
      </w:r>
      <w:r w:rsidR="006735A9">
        <w:rPr>
          <w:rFonts w:eastAsia="Calibri"/>
          <w:lang w:val="es-MX"/>
        </w:rPr>
        <w:t>”</w:t>
      </w:r>
      <w:r w:rsidR="00D84DE3">
        <w:rPr>
          <w:rFonts w:eastAsia="Calibri"/>
          <w:lang w:val="es-MX"/>
        </w:rPr>
        <w:t>.</w:t>
      </w:r>
      <w:r w:rsidR="00917761">
        <w:rPr>
          <w:rFonts w:eastAsia="Calibri"/>
          <w:lang w:val="es-MX"/>
        </w:rPr>
        <w:t xml:space="preserve"> </w:t>
      </w:r>
      <w:r w:rsidR="00917761" w:rsidRPr="00917761">
        <w:rPr>
          <w:rFonts w:eastAsia="Calibri"/>
          <w:lang w:val="es-MX"/>
        </w:rPr>
        <w:t xml:space="preserve">(Armenta, 2016; Sáenz, 2010; </w:t>
      </w:r>
      <w:r w:rsidR="009837D6">
        <w:rPr>
          <w:lang w:val="es-MX"/>
        </w:rPr>
        <w:t xml:space="preserve">Shahani y </w:t>
      </w:r>
      <w:r w:rsidR="00917761" w:rsidRPr="00917761">
        <w:rPr>
          <w:lang w:val="es-MX"/>
        </w:rPr>
        <w:t>Greene 2009</w:t>
      </w:r>
      <w:r w:rsidR="00917761" w:rsidRPr="00917761">
        <w:rPr>
          <w:rFonts w:eastAsia="Calibri"/>
          <w:lang w:val="es-MX"/>
        </w:rPr>
        <w:t xml:space="preserve">).  </w:t>
      </w:r>
      <w:r w:rsidR="00917761">
        <w:rPr>
          <w:rFonts w:eastAsia="Calibri"/>
          <w:lang w:val="es-MX"/>
        </w:rPr>
        <w:t>Sin embargo</w:t>
      </w:r>
      <w:r w:rsidR="00D84DE3">
        <w:rPr>
          <w:rFonts w:eastAsia="Calibri"/>
          <w:lang w:val="es-MX"/>
        </w:rPr>
        <w:t>,</w:t>
      </w:r>
      <w:r w:rsidR="000355B2">
        <w:rPr>
          <w:rFonts w:eastAsia="Calibri"/>
          <w:lang w:val="es-MX"/>
        </w:rPr>
        <w:t xml:space="preserve"> el crecimiento de la</w:t>
      </w:r>
      <w:r w:rsidR="00917761">
        <w:rPr>
          <w:rFonts w:eastAsia="Calibri"/>
          <w:lang w:val="es-MX"/>
        </w:rPr>
        <w:t xml:space="preserve"> </w:t>
      </w:r>
      <w:r w:rsidR="00E72ECC">
        <w:rPr>
          <w:rFonts w:eastAsia="Calibri"/>
          <w:lang w:val="es-MX"/>
        </w:rPr>
        <w:t>población</w:t>
      </w:r>
      <w:r w:rsidR="000355B2">
        <w:rPr>
          <w:rFonts w:eastAsia="Calibri"/>
          <w:lang w:val="es-MX"/>
        </w:rPr>
        <w:t xml:space="preserve"> </w:t>
      </w:r>
      <w:r w:rsidR="00E72ECC">
        <w:rPr>
          <w:rFonts w:eastAsia="Calibri"/>
          <w:lang w:val="es-MX"/>
        </w:rPr>
        <w:t>“morena</w:t>
      </w:r>
      <w:r w:rsidR="006735A9">
        <w:rPr>
          <w:rFonts w:eastAsia="Calibri"/>
          <w:lang w:val="es-MX"/>
        </w:rPr>
        <w:t>”</w:t>
      </w:r>
      <w:r w:rsidR="00F770F5">
        <w:rPr>
          <w:rFonts w:eastAsia="Calibri"/>
          <w:lang w:val="es-MX"/>
        </w:rPr>
        <w:t xml:space="preserve"> </w:t>
      </w:r>
      <w:r w:rsidR="00FC78CC">
        <w:rPr>
          <w:rFonts w:eastAsia="Calibri"/>
          <w:lang w:val="es-MX"/>
        </w:rPr>
        <w:t>y</w:t>
      </w:r>
      <w:r w:rsidR="00917761">
        <w:rPr>
          <w:rFonts w:eastAsia="Calibri"/>
          <w:lang w:val="es-MX"/>
        </w:rPr>
        <w:t xml:space="preserve"> </w:t>
      </w:r>
      <w:r w:rsidR="002D209B">
        <w:rPr>
          <w:rFonts w:eastAsia="Calibri"/>
          <w:lang w:val="es-MX"/>
        </w:rPr>
        <w:t xml:space="preserve">de </w:t>
      </w:r>
      <w:r w:rsidR="00917761">
        <w:rPr>
          <w:rFonts w:eastAsia="Calibri"/>
          <w:lang w:val="es-MX"/>
        </w:rPr>
        <w:t>los inmigrantes</w:t>
      </w:r>
      <w:r w:rsidR="00D84DE3">
        <w:rPr>
          <w:rFonts w:eastAsia="Calibri"/>
          <w:lang w:val="es-MX"/>
        </w:rPr>
        <w:t xml:space="preserve"> por todo E.U</w:t>
      </w:r>
      <w:r w:rsidR="000355B2">
        <w:rPr>
          <w:rFonts w:eastAsia="Calibri"/>
          <w:lang w:val="es-MX"/>
        </w:rPr>
        <w:t>.</w:t>
      </w:r>
      <w:r w:rsidR="00917761">
        <w:rPr>
          <w:rFonts w:eastAsia="Calibri"/>
          <w:lang w:val="es-MX"/>
        </w:rPr>
        <w:t xml:space="preserve"> </w:t>
      </w:r>
      <w:r w:rsidR="00917761" w:rsidRPr="00917761">
        <w:rPr>
          <w:rFonts w:eastAsia="Calibri"/>
          <w:lang w:val="es-MX"/>
        </w:rPr>
        <w:t>(</w:t>
      </w:r>
      <w:r w:rsidR="006735A9" w:rsidRPr="00917761">
        <w:rPr>
          <w:rFonts w:eastAsia="Calibri"/>
          <w:lang w:val="es-MX"/>
        </w:rPr>
        <w:t>Sáenz</w:t>
      </w:r>
      <w:r w:rsidR="00917761" w:rsidRPr="00917761">
        <w:rPr>
          <w:rFonts w:eastAsia="Calibri"/>
          <w:lang w:val="es-MX"/>
        </w:rPr>
        <w:t xml:space="preserve"> and Morales, 2015)</w:t>
      </w:r>
      <w:r w:rsidR="00917761">
        <w:rPr>
          <w:rFonts w:eastAsia="Calibri"/>
          <w:lang w:val="es-MX"/>
        </w:rPr>
        <w:t xml:space="preserve"> sugiere </w:t>
      </w:r>
      <w:r w:rsidR="006735A9">
        <w:rPr>
          <w:rFonts w:eastAsia="Calibri"/>
          <w:lang w:val="es-MX"/>
        </w:rPr>
        <w:t xml:space="preserve">que </w:t>
      </w:r>
      <w:r w:rsidR="00D84DE3">
        <w:rPr>
          <w:rFonts w:eastAsia="Calibri"/>
          <w:lang w:val="es-MX"/>
        </w:rPr>
        <w:t xml:space="preserve">incluso </w:t>
      </w:r>
      <w:r w:rsidR="000355B2">
        <w:rPr>
          <w:rFonts w:eastAsia="Calibri"/>
          <w:lang w:val="es-MX"/>
        </w:rPr>
        <w:t>los estados, condados</w:t>
      </w:r>
      <w:r w:rsidR="00917761">
        <w:rPr>
          <w:rFonts w:eastAsia="Calibri"/>
          <w:lang w:val="es-MX"/>
        </w:rPr>
        <w:t xml:space="preserve"> </w:t>
      </w:r>
      <w:r w:rsidR="00FC78CC">
        <w:rPr>
          <w:rFonts w:eastAsia="Calibri"/>
          <w:lang w:val="es-MX"/>
        </w:rPr>
        <w:t>y departamentos</w:t>
      </w:r>
      <w:r w:rsidR="000355B2">
        <w:rPr>
          <w:rFonts w:eastAsia="Calibri"/>
          <w:lang w:val="es-MX"/>
        </w:rPr>
        <w:t xml:space="preserve"> policiacos</w:t>
      </w:r>
      <w:r w:rsidR="00D84DE3">
        <w:rPr>
          <w:rFonts w:eastAsia="Calibri"/>
          <w:lang w:val="es-MX"/>
        </w:rPr>
        <w:t xml:space="preserve"> locales </w:t>
      </w:r>
      <w:r w:rsidR="000355B2">
        <w:rPr>
          <w:rFonts w:eastAsia="Calibri"/>
          <w:lang w:val="es-MX"/>
        </w:rPr>
        <w:t xml:space="preserve">sin </w:t>
      </w:r>
      <w:r w:rsidR="006735A9">
        <w:rPr>
          <w:rFonts w:eastAsia="Calibri"/>
          <w:lang w:val="es-MX"/>
        </w:rPr>
        <w:t xml:space="preserve">acuerdo </w:t>
      </w:r>
      <w:r w:rsidR="00D84DE3">
        <w:rPr>
          <w:rFonts w:eastAsia="Calibri"/>
          <w:lang w:val="es-MX"/>
        </w:rPr>
        <w:t xml:space="preserve">con el gobierno federal para vigilar la aplicación de las leyes </w:t>
      </w:r>
      <w:r w:rsidR="000355B2">
        <w:rPr>
          <w:rFonts w:eastAsia="Calibri"/>
          <w:lang w:val="es-MX"/>
        </w:rPr>
        <w:t>migratorias</w:t>
      </w:r>
      <w:r w:rsidR="00F770F5">
        <w:rPr>
          <w:rFonts w:eastAsia="Calibri"/>
          <w:lang w:val="es-MX"/>
        </w:rPr>
        <w:t>,</w:t>
      </w:r>
      <w:r w:rsidR="000355B2">
        <w:rPr>
          <w:rFonts w:eastAsia="Calibri"/>
          <w:lang w:val="es-MX"/>
        </w:rPr>
        <w:t xml:space="preserve"> </w:t>
      </w:r>
      <w:r w:rsidR="00D84DE3">
        <w:rPr>
          <w:rFonts w:eastAsia="Calibri"/>
          <w:lang w:val="es-MX"/>
        </w:rPr>
        <w:t xml:space="preserve">están interactuando </w:t>
      </w:r>
      <w:r w:rsidR="000355B2">
        <w:rPr>
          <w:rFonts w:eastAsia="Calibri"/>
          <w:lang w:val="es-MX"/>
        </w:rPr>
        <w:t xml:space="preserve">como </w:t>
      </w:r>
      <w:r w:rsidR="00D84DE3">
        <w:rPr>
          <w:rFonts w:eastAsia="Calibri"/>
          <w:lang w:val="es-MX"/>
        </w:rPr>
        <w:t xml:space="preserve">nunca con los inmigrantes. </w:t>
      </w:r>
      <w:r w:rsidR="00FC78CC">
        <w:rPr>
          <w:rFonts w:eastAsia="Calibri"/>
          <w:lang w:val="es-MX"/>
        </w:rPr>
        <w:t xml:space="preserve"> </w:t>
      </w:r>
    </w:p>
    <w:p w14:paraId="030C63DE" w14:textId="13F8D68B" w:rsidR="00F532D8" w:rsidRPr="00897AD5" w:rsidRDefault="002D209B" w:rsidP="00F0717A">
      <w:pPr>
        <w:spacing w:after="200" w:line="480" w:lineRule="auto"/>
        <w:ind w:firstLine="720"/>
        <w:jc w:val="both"/>
        <w:rPr>
          <w:rFonts w:eastAsia="Calibri"/>
          <w:lang w:val="es-MX"/>
        </w:rPr>
      </w:pPr>
      <w:r>
        <w:rPr>
          <w:rFonts w:eastAsia="Calibri"/>
          <w:lang w:val="es-MX"/>
        </w:rPr>
        <w:lastRenderedPageBreak/>
        <w:t>Con la expansión de l</w:t>
      </w:r>
      <w:r w:rsidR="00D84DE3">
        <w:rPr>
          <w:rFonts w:eastAsia="Calibri"/>
          <w:lang w:val="es-MX"/>
        </w:rPr>
        <w:t>a vig</w:t>
      </w:r>
      <w:r w:rsidR="000355B2">
        <w:rPr>
          <w:rFonts w:eastAsia="Calibri"/>
          <w:lang w:val="es-MX"/>
        </w:rPr>
        <w:t>ilancia migratoria</w:t>
      </w:r>
      <w:r w:rsidR="00D84DE3">
        <w:rPr>
          <w:rFonts w:eastAsia="Calibri"/>
          <w:lang w:val="es-MX"/>
        </w:rPr>
        <w:t xml:space="preserve">, </w:t>
      </w:r>
      <w:r w:rsidR="006735A9">
        <w:rPr>
          <w:rFonts w:eastAsia="Calibri"/>
          <w:lang w:val="es-MX"/>
        </w:rPr>
        <w:t xml:space="preserve">el perfil </w:t>
      </w:r>
      <w:r w:rsidR="00D84DE3">
        <w:rPr>
          <w:rFonts w:eastAsia="Calibri"/>
          <w:lang w:val="es-MX"/>
        </w:rPr>
        <w:t xml:space="preserve">de ciudadanía </w:t>
      </w:r>
      <w:r w:rsidR="0079094D">
        <w:rPr>
          <w:rFonts w:eastAsia="Calibri"/>
          <w:lang w:val="es-MX"/>
        </w:rPr>
        <w:t xml:space="preserve">está siendo </w:t>
      </w:r>
      <w:r w:rsidR="00D84DE3">
        <w:rPr>
          <w:rFonts w:eastAsia="Calibri"/>
          <w:lang w:val="es-MX"/>
        </w:rPr>
        <w:t xml:space="preserve">una cuestión de mayor preocupación, </w:t>
      </w:r>
      <w:r w:rsidR="00FC78CC">
        <w:rPr>
          <w:rFonts w:eastAsia="Calibri"/>
          <w:lang w:val="es-MX"/>
        </w:rPr>
        <w:t xml:space="preserve">sin embargo no </w:t>
      </w:r>
      <w:r w:rsidR="0079094D">
        <w:rPr>
          <w:rFonts w:eastAsia="Calibri"/>
          <w:lang w:val="es-MX"/>
        </w:rPr>
        <w:t xml:space="preserve">sabemos mucho acerca de </w:t>
      </w:r>
      <w:r w:rsidR="00D84DE3">
        <w:rPr>
          <w:rFonts w:eastAsia="Calibri"/>
          <w:lang w:val="es-MX"/>
        </w:rPr>
        <w:t xml:space="preserve">quien ha sido </w:t>
      </w:r>
      <w:r w:rsidR="000355B2">
        <w:rPr>
          <w:rFonts w:eastAsia="Calibri"/>
          <w:lang w:val="es-MX"/>
        </w:rPr>
        <w:t xml:space="preserve">clasificado </w:t>
      </w:r>
      <w:r w:rsidR="00D84DE3">
        <w:rPr>
          <w:rFonts w:eastAsia="Calibri"/>
          <w:lang w:val="es-MX"/>
        </w:rPr>
        <w:t xml:space="preserve">como </w:t>
      </w:r>
      <w:r w:rsidR="00FC78CC">
        <w:rPr>
          <w:rFonts w:eastAsia="Calibri"/>
          <w:lang w:val="es-MX"/>
        </w:rPr>
        <w:t xml:space="preserve">inmigrante indocumentado. </w:t>
      </w:r>
      <w:r w:rsidR="00FC78CC" w:rsidRPr="00FC78CC">
        <w:rPr>
          <w:rFonts w:eastAsia="Calibri"/>
          <w:lang w:val="es-MX"/>
        </w:rPr>
        <w:t xml:space="preserve">La </w:t>
      </w:r>
      <w:r w:rsidR="00B167E7" w:rsidRPr="00FC78CC">
        <w:rPr>
          <w:rFonts w:eastAsia="Calibri"/>
          <w:lang w:val="es-MX"/>
        </w:rPr>
        <w:t>mayoría</w:t>
      </w:r>
      <w:r w:rsidR="0079094D">
        <w:rPr>
          <w:rFonts w:eastAsia="Calibri"/>
          <w:lang w:val="es-MX"/>
        </w:rPr>
        <w:t xml:space="preserve"> de los estudios sobre</w:t>
      </w:r>
      <w:r w:rsidR="000355B2">
        <w:rPr>
          <w:rFonts w:eastAsia="Calibri"/>
          <w:lang w:val="es-MX"/>
        </w:rPr>
        <w:t xml:space="preserve"> </w:t>
      </w:r>
      <w:r w:rsidR="00FC78CC" w:rsidRPr="00FC78CC">
        <w:rPr>
          <w:rFonts w:eastAsia="Calibri"/>
          <w:lang w:val="es-MX"/>
        </w:rPr>
        <w:t xml:space="preserve">vigilancia  </w:t>
      </w:r>
      <w:r w:rsidR="000355B2">
        <w:rPr>
          <w:rFonts w:eastAsia="Calibri"/>
          <w:lang w:val="es-MX"/>
        </w:rPr>
        <w:t>migratoria h</w:t>
      </w:r>
      <w:r w:rsidR="0079094D">
        <w:rPr>
          <w:rFonts w:eastAsia="Calibri"/>
          <w:lang w:val="es-MX"/>
        </w:rPr>
        <w:t>an</w:t>
      </w:r>
      <w:r w:rsidR="000355B2">
        <w:rPr>
          <w:rFonts w:eastAsia="Calibri"/>
          <w:lang w:val="es-MX"/>
        </w:rPr>
        <w:t xml:space="preserve"> analizado</w:t>
      </w:r>
      <w:r w:rsidR="00D84DE3">
        <w:rPr>
          <w:rFonts w:eastAsia="Calibri"/>
          <w:lang w:val="es-MX"/>
        </w:rPr>
        <w:t xml:space="preserve"> políticas como la 287(g), Comunidades S</w:t>
      </w:r>
      <w:r w:rsidR="000355B2">
        <w:rPr>
          <w:rFonts w:eastAsia="Calibri"/>
          <w:lang w:val="es-MX"/>
        </w:rPr>
        <w:t>eguras, PEP</w:t>
      </w:r>
      <w:r w:rsidR="00B167E7">
        <w:rPr>
          <w:rFonts w:eastAsia="Calibri"/>
          <w:lang w:val="es-MX"/>
        </w:rPr>
        <w:t xml:space="preserve"> y</w:t>
      </w:r>
      <w:r w:rsidR="00D84DE3">
        <w:rPr>
          <w:rFonts w:eastAsia="Calibri"/>
          <w:lang w:val="es-MX"/>
        </w:rPr>
        <w:t xml:space="preserve"> la </w:t>
      </w:r>
      <w:r w:rsidR="00B167E7">
        <w:rPr>
          <w:rFonts w:eastAsia="Calibri"/>
          <w:lang w:val="es-MX"/>
        </w:rPr>
        <w:t xml:space="preserve"> SB1070 y/o </w:t>
      </w:r>
      <w:r w:rsidR="00D84DE3">
        <w:rPr>
          <w:rFonts w:eastAsia="Calibri"/>
          <w:lang w:val="es-MX"/>
        </w:rPr>
        <w:t>han</w:t>
      </w:r>
      <w:r w:rsidR="00B167E7">
        <w:rPr>
          <w:rFonts w:eastAsia="Calibri"/>
          <w:lang w:val="es-MX"/>
        </w:rPr>
        <w:t xml:space="preserve"> utilizado </w:t>
      </w:r>
      <w:r w:rsidR="00D84DE3">
        <w:rPr>
          <w:rFonts w:eastAsia="Calibri"/>
          <w:lang w:val="es-MX"/>
        </w:rPr>
        <w:t xml:space="preserve">una gama de herramientas cualitativas para </w:t>
      </w:r>
      <w:r w:rsidR="000355B2">
        <w:rPr>
          <w:rFonts w:eastAsia="Calibri"/>
          <w:lang w:val="es-MX"/>
        </w:rPr>
        <w:t xml:space="preserve">analizar </w:t>
      </w:r>
      <w:r w:rsidR="009566C8">
        <w:rPr>
          <w:rFonts w:eastAsia="Calibri"/>
          <w:lang w:val="es-MX"/>
        </w:rPr>
        <w:t>la discrecionalidad</w:t>
      </w:r>
      <w:r w:rsidR="00D84DE3">
        <w:rPr>
          <w:rFonts w:eastAsia="Calibri"/>
          <w:lang w:val="es-MX"/>
        </w:rPr>
        <w:t xml:space="preserve"> de las mismas </w:t>
      </w:r>
      <w:r w:rsidR="00B167E7" w:rsidRPr="00B167E7">
        <w:rPr>
          <w:rFonts w:eastAsia="Calibri"/>
          <w:lang w:val="es-MX"/>
        </w:rPr>
        <w:t xml:space="preserve">(e.g., Armenta, 2016; Golash-Boza, 2015; Motomura, 2011; </w:t>
      </w:r>
      <w:r w:rsidR="00B167E7" w:rsidRPr="00B167E7">
        <w:rPr>
          <w:lang w:val="es-MX"/>
        </w:rPr>
        <w:t>Provine et al., 2016</w:t>
      </w:r>
      <w:r w:rsidR="00B167E7" w:rsidRPr="00B167E7">
        <w:rPr>
          <w:rFonts w:eastAsia="Calibri"/>
          <w:lang w:val="es-MX"/>
        </w:rPr>
        <w:t xml:space="preserve">).  Hasta ahora, </w:t>
      </w:r>
      <w:r w:rsidR="00D84DE3">
        <w:rPr>
          <w:rFonts w:eastAsia="Calibri"/>
          <w:lang w:val="es-MX"/>
        </w:rPr>
        <w:t>estos</w:t>
      </w:r>
      <w:r w:rsidR="00B167E7" w:rsidRPr="00B167E7">
        <w:rPr>
          <w:rFonts w:eastAsia="Calibri"/>
          <w:lang w:val="es-MX"/>
        </w:rPr>
        <w:t xml:space="preserve"> </w:t>
      </w:r>
      <w:r w:rsidR="00B30BA9">
        <w:rPr>
          <w:rFonts w:eastAsia="Calibri"/>
          <w:lang w:val="es-MX"/>
        </w:rPr>
        <w:t>e</w:t>
      </w:r>
      <w:r w:rsidR="00B167E7" w:rsidRPr="00B167E7">
        <w:rPr>
          <w:rFonts w:eastAsia="Calibri"/>
          <w:lang w:val="es-MX"/>
        </w:rPr>
        <w:t>s</w:t>
      </w:r>
      <w:r w:rsidR="00D81617">
        <w:rPr>
          <w:rFonts w:eastAsia="Calibri"/>
          <w:lang w:val="es-MX"/>
        </w:rPr>
        <w:t xml:space="preserve">tudios </w:t>
      </w:r>
      <w:r w:rsidR="009566C8">
        <w:rPr>
          <w:rFonts w:eastAsia="Calibri"/>
          <w:lang w:val="es-MX"/>
        </w:rPr>
        <w:t xml:space="preserve">sobre </w:t>
      </w:r>
      <w:r w:rsidR="00D81617">
        <w:rPr>
          <w:rFonts w:eastAsia="Calibri"/>
          <w:lang w:val="es-MX"/>
        </w:rPr>
        <w:t xml:space="preserve">vigilancia migratoria han </w:t>
      </w:r>
      <w:r w:rsidR="000355B2">
        <w:rPr>
          <w:rFonts w:eastAsia="Calibri"/>
          <w:lang w:val="es-MX"/>
        </w:rPr>
        <w:t xml:space="preserve">logrado </w:t>
      </w:r>
      <w:r w:rsidR="00D81617">
        <w:rPr>
          <w:rFonts w:eastAsia="Calibri"/>
          <w:lang w:val="es-MX"/>
        </w:rPr>
        <w:t>que surja la preocupación de como las políticas a nivel estado</w:t>
      </w:r>
      <w:r w:rsidR="000355B2">
        <w:rPr>
          <w:rFonts w:eastAsia="Calibri"/>
          <w:lang w:val="es-MX"/>
        </w:rPr>
        <w:t>, co</w:t>
      </w:r>
      <w:r w:rsidR="0079094D">
        <w:rPr>
          <w:rFonts w:eastAsia="Calibri"/>
          <w:lang w:val="es-MX"/>
        </w:rPr>
        <w:t>ndado y</w:t>
      </w:r>
      <w:r w:rsidR="00D81617">
        <w:rPr>
          <w:rFonts w:eastAsia="Calibri"/>
          <w:lang w:val="es-MX"/>
        </w:rPr>
        <w:t xml:space="preserve"> locales pueden </w:t>
      </w:r>
      <w:r w:rsidR="009566C8">
        <w:rPr>
          <w:rFonts w:eastAsia="Calibri"/>
          <w:lang w:val="es-MX"/>
        </w:rPr>
        <w:t xml:space="preserve">tener un efecto </w:t>
      </w:r>
      <w:r w:rsidR="00D81617">
        <w:rPr>
          <w:rFonts w:eastAsia="Calibri"/>
          <w:lang w:val="es-MX"/>
        </w:rPr>
        <w:t>desproporcionad</w:t>
      </w:r>
      <w:r w:rsidR="000355B2">
        <w:rPr>
          <w:rFonts w:eastAsia="Calibri"/>
          <w:lang w:val="es-MX"/>
        </w:rPr>
        <w:t>o</w:t>
      </w:r>
      <w:r w:rsidR="00D81617">
        <w:rPr>
          <w:rFonts w:eastAsia="Calibri"/>
          <w:lang w:val="es-MX"/>
        </w:rPr>
        <w:t xml:space="preserve"> en los </w:t>
      </w:r>
      <w:r w:rsidR="0079094D" w:rsidRPr="0079094D">
        <w:rPr>
          <w:rFonts w:eastAsia="Calibri"/>
          <w:i/>
          <w:lang w:val="es-MX"/>
        </w:rPr>
        <w:t>individuos</w:t>
      </w:r>
      <w:r w:rsidR="0079094D">
        <w:rPr>
          <w:rFonts w:eastAsia="Calibri"/>
          <w:lang w:val="es-MX"/>
        </w:rPr>
        <w:t xml:space="preserve"> </w:t>
      </w:r>
      <w:r w:rsidR="00D81617">
        <w:rPr>
          <w:rFonts w:eastAsia="Calibri"/>
          <w:lang w:val="es-MX"/>
        </w:rPr>
        <w:t>latinos</w:t>
      </w:r>
      <w:r w:rsidR="009566C8">
        <w:rPr>
          <w:rFonts w:eastAsia="Calibri"/>
          <w:lang w:val="es-MX"/>
        </w:rPr>
        <w:t>,</w:t>
      </w:r>
      <w:r w:rsidR="00D81617">
        <w:rPr>
          <w:rFonts w:eastAsia="Calibri"/>
          <w:lang w:val="es-MX"/>
        </w:rPr>
        <w:t xml:space="preserve"> independientemente de su estatus de ciudadanía</w:t>
      </w:r>
      <w:r w:rsidR="009566C8">
        <w:rPr>
          <w:rFonts w:eastAsia="Calibri"/>
          <w:lang w:val="es-MX"/>
        </w:rPr>
        <w:t>,</w:t>
      </w:r>
      <w:r w:rsidR="00D81617">
        <w:rPr>
          <w:rFonts w:eastAsia="Calibri"/>
          <w:lang w:val="es-MX"/>
        </w:rPr>
        <w:t xml:space="preserve"> pero se han</w:t>
      </w:r>
      <w:r w:rsidR="0079094D">
        <w:rPr>
          <w:rFonts w:eastAsia="Calibri"/>
          <w:lang w:val="es-MX"/>
        </w:rPr>
        <w:t xml:space="preserve"> concentrado en la expulsión</w:t>
      </w:r>
      <w:r w:rsidR="00D81617">
        <w:rPr>
          <w:rFonts w:eastAsia="Calibri"/>
          <w:lang w:val="es-MX"/>
        </w:rPr>
        <w:t xml:space="preserve"> y detención de los inmigrantes indocumentados. </w:t>
      </w:r>
      <w:r w:rsidR="00B30BA9">
        <w:rPr>
          <w:rFonts w:eastAsia="Calibri"/>
          <w:lang w:val="es-MX"/>
        </w:rPr>
        <w:t>Nos hemos</w:t>
      </w:r>
      <w:r w:rsidR="00411257">
        <w:rPr>
          <w:rFonts w:eastAsia="Calibri"/>
          <w:lang w:val="es-MX"/>
        </w:rPr>
        <w:t xml:space="preserve"> basado en</w:t>
      </w:r>
      <w:r w:rsidR="00A05714">
        <w:rPr>
          <w:rFonts w:eastAsia="Calibri"/>
          <w:lang w:val="es-MX"/>
        </w:rPr>
        <w:t xml:space="preserve"> esta investigación </w:t>
      </w:r>
      <w:r w:rsidR="0079094D">
        <w:rPr>
          <w:rFonts w:eastAsia="Calibri"/>
          <w:lang w:val="es-MX"/>
        </w:rPr>
        <w:t xml:space="preserve">al ofrecer </w:t>
      </w:r>
      <w:r w:rsidR="00A05714">
        <w:rPr>
          <w:rFonts w:eastAsia="Calibri"/>
          <w:lang w:val="es-MX"/>
        </w:rPr>
        <w:t>un</w:t>
      </w:r>
      <w:r w:rsidR="009566C8">
        <w:rPr>
          <w:rFonts w:eastAsia="Calibri"/>
          <w:lang w:val="es-MX"/>
        </w:rPr>
        <w:t xml:space="preserve"> perfil estadístico de quien</w:t>
      </w:r>
      <w:r w:rsidR="0079094D">
        <w:rPr>
          <w:rFonts w:eastAsia="Calibri"/>
          <w:lang w:val="es-MX"/>
        </w:rPr>
        <w:t>(es)</w:t>
      </w:r>
      <w:r w:rsidR="009566C8">
        <w:rPr>
          <w:rFonts w:eastAsia="Calibri"/>
          <w:lang w:val="es-MX"/>
        </w:rPr>
        <w:t>,</w:t>
      </w:r>
      <w:r w:rsidR="000355B2">
        <w:rPr>
          <w:rFonts w:eastAsia="Calibri"/>
          <w:lang w:val="es-MX"/>
        </w:rPr>
        <w:t xml:space="preserve"> </w:t>
      </w:r>
      <w:r w:rsidR="00A05714">
        <w:rPr>
          <w:rFonts w:eastAsia="Calibri"/>
          <w:lang w:val="es-MX"/>
        </w:rPr>
        <w:t>las agencias policiacas</w:t>
      </w:r>
      <w:r w:rsidR="009566C8">
        <w:rPr>
          <w:rFonts w:eastAsia="Calibri"/>
          <w:lang w:val="es-MX"/>
        </w:rPr>
        <w:t>,</w:t>
      </w:r>
      <w:r w:rsidR="00A05714">
        <w:rPr>
          <w:rFonts w:eastAsia="Calibri"/>
          <w:lang w:val="es-MX"/>
        </w:rPr>
        <w:t xml:space="preserve"> </w:t>
      </w:r>
      <w:r w:rsidR="009566C8">
        <w:rPr>
          <w:rFonts w:eastAsia="Calibri"/>
          <w:lang w:val="es-MX"/>
        </w:rPr>
        <w:t xml:space="preserve">sospechan </w:t>
      </w:r>
      <w:r w:rsidR="000355B2">
        <w:rPr>
          <w:rFonts w:eastAsia="Calibri"/>
          <w:lang w:val="es-MX"/>
        </w:rPr>
        <w:t xml:space="preserve">que sea </w:t>
      </w:r>
      <w:r w:rsidR="00A05714">
        <w:rPr>
          <w:rFonts w:eastAsia="Calibri"/>
          <w:lang w:val="es-MX"/>
        </w:rPr>
        <w:t xml:space="preserve">indocumentado basándose en los factores a </w:t>
      </w:r>
      <w:r w:rsidR="00A05714" w:rsidRPr="0079094D">
        <w:rPr>
          <w:rFonts w:eastAsia="Calibri"/>
          <w:i/>
          <w:lang w:val="es-MX"/>
        </w:rPr>
        <w:t>nivel individual</w:t>
      </w:r>
      <w:r w:rsidR="00A05714">
        <w:rPr>
          <w:rFonts w:eastAsia="Calibri"/>
          <w:lang w:val="es-MX"/>
        </w:rPr>
        <w:t xml:space="preserve"> (</w:t>
      </w:r>
      <w:r w:rsidR="00A05714" w:rsidRPr="0079094D">
        <w:rPr>
          <w:rFonts w:eastAsia="Calibri"/>
          <w:lang w:val="es-MX"/>
        </w:rPr>
        <w:t>estatus genera</w:t>
      </w:r>
      <w:r w:rsidR="009566C8" w:rsidRPr="0079094D">
        <w:rPr>
          <w:rFonts w:eastAsia="Calibri"/>
          <w:lang w:val="es-MX"/>
        </w:rPr>
        <w:t xml:space="preserve">cional, </w:t>
      </w:r>
      <w:r w:rsidR="0079094D" w:rsidRPr="0079094D">
        <w:rPr>
          <w:rFonts w:eastAsia="Calibri"/>
          <w:lang w:val="es-MX"/>
        </w:rPr>
        <w:t>etnicidad latina</w:t>
      </w:r>
      <w:r w:rsidR="00A05714" w:rsidRPr="0079094D">
        <w:rPr>
          <w:rFonts w:eastAsia="Calibri"/>
          <w:lang w:val="es-MX"/>
        </w:rPr>
        <w:t xml:space="preserve">, sexo y edad) </w:t>
      </w:r>
      <w:r w:rsidR="00A05714">
        <w:rPr>
          <w:rFonts w:eastAsia="Calibri"/>
          <w:lang w:val="es-MX"/>
        </w:rPr>
        <w:t xml:space="preserve">y considerar </w:t>
      </w:r>
      <w:r w:rsidR="0079094D">
        <w:rPr>
          <w:rFonts w:eastAsia="Calibri"/>
          <w:lang w:val="es-MX"/>
        </w:rPr>
        <w:t xml:space="preserve">cómo </w:t>
      </w:r>
      <w:r w:rsidR="00A05714">
        <w:rPr>
          <w:rFonts w:eastAsia="Calibri"/>
          <w:lang w:val="es-MX"/>
        </w:rPr>
        <w:t>lo</w:t>
      </w:r>
      <w:r w:rsidR="000355B2">
        <w:rPr>
          <w:rFonts w:eastAsia="Calibri"/>
          <w:lang w:val="es-MX"/>
        </w:rPr>
        <w:t xml:space="preserve">s factores contextuales a </w:t>
      </w:r>
      <w:r w:rsidR="000355B2" w:rsidRPr="0079094D">
        <w:rPr>
          <w:rFonts w:eastAsia="Calibri"/>
          <w:i/>
          <w:lang w:val="es-MX"/>
        </w:rPr>
        <w:t xml:space="preserve">nivel </w:t>
      </w:r>
      <w:r w:rsidR="00A05714" w:rsidRPr="0079094D">
        <w:rPr>
          <w:rFonts w:eastAsia="Calibri"/>
          <w:i/>
          <w:lang w:val="es-MX"/>
        </w:rPr>
        <w:t>grupo</w:t>
      </w:r>
      <w:r w:rsidR="00A05714">
        <w:rPr>
          <w:rFonts w:eastAsia="Calibri"/>
          <w:lang w:val="es-MX"/>
        </w:rPr>
        <w:t xml:space="preserve"> (que radican en la pobreza y en los vecindarios de enclave étnico</w:t>
      </w:r>
      <w:r w:rsidR="0079094D">
        <w:rPr>
          <w:rFonts w:eastAsia="Calibri"/>
          <w:lang w:val="es-MX"/>
        </w:rPr>
        <w:t>)</w:t>
      </w:r>
      <w:r w:rsidR="00A05714">
        <w:rPr>
          <w:rFonts w:eastAsia="Calibri"/>
          <w:lang w:val="es-MX"/>
        </w:rPr>
        <w:t xml:space="preserve"> </w:t>
      </w:r>
      <w:r w:rsidR="0079094D">
        <w:rPr>
          <w:rFonts w:eastAsia="Calibri"/>
          <w:lang w:val="es-MX"/>
        </w:rPr>
        <w:t>pueden</w:t>
      </w:r>
      <w:r w:rsidR="00A05714" w:rsidRPr="009566C8">
        <w:rPr>
          <w:rFonts w:eastAsia="Calibri"/>
          <w:color w:val="FF0000"/>
          <w:lang w:val="es-MX"/>
        </w:rPr>
        <w:t xml:space="preserve"> </w:t>
      </w:r>
      <w:r w:rsidR="00A05714" w:rsidRPr="0079094D">
        <w:rPr>
          <w:rFonts w:eastAsia="Calibri"/>
          <w:lang w:val="es-MX"/>
        </w:rPr>
        <w:t xml:space="preserve">afectar a quienes las agencias policiacas </w:t>
      </w:r>
      <w:r w:rsidR="00A05714">
        <w:rPr>
          <w:rFonts w:eastAsia="Calibri"/>
          <w:lang w:val="es-MX"/>
        </w:rPr>
        <w:t>cuestionan su ciudadanía</w:t>
      </w:r>
      <w:r w:rsidR="000355B2">
        <w:rPr>
          <w:rFonts w:eastAsia="Calibri"/>
          <w:lang w:val="es-MX"/>
        </w:rPr>
        <w:t>.</w:t>
      </w:r>
      <w:r w:rsidR="00F532D8">
        <w:rPr>
          <w:rFonts w:eastAsia="Calibri"/>
          <w:lang w:val="es-MX"/>
        </w:rPr>
        <w:t xml:space="preserve"> </w:t>
      </w:r>
    </w:p>
    <w:p w14:paraId="2C2563C2" w14:textId="2BB09B45" w:rsidR="00897AD5" w:rsidRPr="00BC38B8" w:rsidRDefault="00D01400" w:rsidP="00F0717A">
      <w:pPr>
        <w:spacing w:after="200" w:line="480" w:lineRule="auto"/>
        <w:ind w:firstLine="720"/>
        <w:jc w:val="both"/>
        <w:rPr>
          <w:rFonts w:eastAsia="Calibri"/>
          <w:lang w:val="es-MX"/>
        </w:rPr>
      </w:pPr>
      <w:r>
        <w:rPr>
          <w:rFonts w:eastAsia="Calibri"/>
          <w:lang w:val="es-MX"/>
        </w:rPr>
        <w:t>B</w:t>
      </w:r>
      <w:r w:rsidR="00F532D8" w:rsidRPr="00F532D8">
        <w:rPr>
          <w:rFonts w:eastAsia="Calibri"/>
          <w:lang w:val="es-MX"/>
        </w:rPr>
        <w:t>asamos este estudio en una invest</w:t>
      </w:r>
      <w:r w:rsidR="0079094D">
        <w:rPr>
          <w:rFonts w:eastAsia="Calibri"/>
          <w:lang w:val="es-MX"/>
        </w:rPr>
        <w:t>igación primaria que consiste de</w:t>
      </w:r>
      <w:r w:rsidR="00F532D8" w:rsidRPr="00F532D8">
        <w:rPr>
          <w:rFonts w:eastAsia="Calibri"/>
          <w:lang w:val="es-MX"/>
        </w:rPr>
        <w:t xml:space="preserve"> 677 encuestas </w:t>
      </w:r>
      <w:r w:rsidR="0079094D">
        <w:rPr>
          <w:rFonts w:eastAsia="Calibri"/>
          <w:lang w:val="es-MX"/>
        </w:rPr>
        <w:t xml:space="preserve">recabadas </w:t>
      </w:r>
      <w:r w:rsidR="00F532D8">
        <w:rPr>
          <w:rFonts w:eastAsia="Calibri"/>
          <w:lang w:val="es-MX"/>
        </w:rPr>
        <w:t xml:space="preserve">en el 2014 en El Paso, Texas, una ciudad </w:t>
      </w:r>
      <w:r w:rsidR="00E72ECC">
        <w:rPr>
          <w:rFonts w:eastAsia="Calibri"/>
          <w:lang w:val="es-MX"/>
        </w:rPr>
        <w:t xml:space="preserve">en </w:t>
      </w:r>
      <w:r>
        <w:rPr>
          <w:rFonts w:eastAsia="Calibri"/>
          <w:lang w:val="es-MX"/>
        </w:rPr>
        <w:t xml:space="preserve">la frontera </w:t>
      </w:r>
      <w:r w:rsidR="00D2704C">
        <w:rPr>
          <w:rFonts w:eastAsia="Calibri"/>
          <w:lang w:val="es-MX"/>
        </w:rPr>
        <w:t>Estados Unidos</w:t>
      </w:r>
      <w:r>
        <w:rPr>
          <w:rFonts w:eastAsia="Calibri"/>
          <w:lang w:val="es-MX"/>
        </w:rPr>
        <w:t>-</w:t>
      </w:r>
      <w:r w:rsidR="002D6C02">
        <w:rPr>
          <w:rFonts w:eastAsia="Calibri"/>
          <w:lang w:val="es-MX"/>
        </w:rPr>
        <w:t>México</w:t>
      </w:r>
      <w:r w:rsidR="00E72ECC">
        <w:rPr>
          <w:rFonts w:eastAsia="Calibri"/>
          <w:lang w:val="es-MX"/>
        </w:rPr>
        <w:t>,</w:t>
      </w:r>
      <w:r w:rsidR="0079094D">
        <w:rPr>
          <w:rFonts w:eastAsia="Calibri"/>
          <w:lang w:val="es-MX"/>
        </w:rPr>
        <w:t xml:space="preserve"> </w:t>
      </w:r>
      <w:r w:rsidR="00AB48F5">
        <w:rPr>
          <w:rFonts w:eastAsia="Calibri"/>
          <w:lang w:val="es-MX"/>
        </w:rPr>
        <w:t>veci</w:t>
      </w:r>
      <w:r>
        <w:rPr>
          <w:rFonts w:eastAsia="Calibri"/>
          <w:lang w:val="es-MX"/>
        </w:rPr>
        <w:t>na de</w:t>
      </w:r>
      <w:r w:rsidR="00AB48F5">
        <w:rPr>
          <w:rFonts w:eastAsia="Calibri"/>
          <w:lang w:val="es-MX"/>
        </w:rPr>
        <w:t xml:space="preserve"> Ciudad </w:t>
      </w:r>
      <w:r w:rsidR="00897AD5">
        <w:rPr>
          <w:rFonts w:eastAsia="Calibri"/>
          <w:lang w:val="es-MX"/>
        </w:rPr>
        <w:t>Juárez</w:t>
      </w:r>
      <w:r w:rsidR="00AB48F5">
        <w:rPr>
          <w:rFonts w:eastAsia="Calibri"/>
          <w:lang w:val="es-MX"/>
        </w:rPr>
        <w:t xml:space="preserve">, Chihuahua, </w:t>
      </w:r>
      <w:r w:rsidR="00897AD5">
        <w:rPr>
          <w:rFonts w:eastAsia="Calibri"/>
          <w:lang w:val="es-MX"/>
        </w:rPr>
        <w:t>México</w:t>
      </w:r>
      <w:r w:rsidR="00AB48F5">
        <w:rPr>
          <w:rFonts w:eastAsia="Calibri"/>
          <w:lang w:val="es-MX"/>
        </w:rPr>
        <w:t xml:space="preserve">. La </w:t>
      </w:r>
      <w:r w:rsidR="009E5738">
        <w:rPr>
          <w:rFonts w:eastAsia="Calibri"/>
          <w:lang w:val="es-MX"/>
        </w:rPr>
        <w:t xml:space="preserve">pregunta </w:t>
      </w:r>
      <w:r w:rsidR="00AB48F5">
        <w:rPr>
          <w:rFonts w:eastAsia="Calibri"/>
          <w:lang w:val="es-MX"/>
        </w:rPr>
        <w:t xml:space="preserve">de </w:t>
      </w:r>
      <w:r w:rsidR="009E5738">
        <w:rPr>
          <w:rFonts w:eastAsia="Calibri"/>
          <w:lang w:val="es-MX"/>
        </w:rPr>
        <w:t>quién</w:t>
      </w:r>
      <w:r w:rsidR="00836491">
        <w:rPr>
          <w:rFonts w:eastAsia="Calibri"/>
          <w:lang w:val="es-MX"/>
        </w:rPr>
        <w:t xml:space="preserve"> </w:t>
      </w:r>
      <w:r w:rsidR="009E5738">
        <w:rPr>
          <w:rFonts w:eastAsia="Calibri"/>
          <w:lang w:val="es-MX"/>
        </w:rPr>
        <w:t xml:space="preserve">es </w:t>
      </w:r>
      <w:r w:rsidR="00836491">
        <w:rPr>
          <w:rFonts w:eastAsia="Calibri"/>
          <w:lang w:val="es-MX"/>
        </w:rPr>
        <w:t xml:space="preserve">categorizado </w:t>
      </w:r>
      <w:r>
        <w:rPr>
          <w:rFonts w:eastAsia="Calibri"/>
          <w:lang w:val="es-MX"/>
        </w:rPr>
        <w:t>como indocumentado debe examinarse de manera pertinente</w:t>
      </w:r>
      <w:r w:rsidR="00131149">
        <w:rPr>
          <w:rFonts w:eastAsia="Calibri"/>
          <w:lang w:val="es-MX"/>
        </w:rPr>
        <w:t xml:space="preserve">, </w:t>
      </w:r>
      <w:r>
        <w:rPr>
          <w:rFonts w:eastAsia="Calibri"/>
          <w:lang w:val="es-MX"/>
        </w:rPr>
        <w:t>particularmente en El Paso</w:t>
      </w:r>
      <w:r w:rsidR="009566C8">
        <w:rPr>
          <w:rFonts w:eastAsia="Calibri"/>
          <w:lang w:val="es-MX"/>
        </w:rPr>
        <w:t>,</w:t>
      </w:r>
      <w:r>
        <w:rPr>
          <w:rFonts w:eastAsia="Calibri"/>
          <w:lang w:val="es-MX"/>
        </w:rPr>
        <w:t xml:space="preserve"> </w:t>
      </w:r>
      <w:r w:rsidR="009E5738">
        <w:rPr>
          <w:rFonts w:eastAsia="Calibri"/>
          <w:lang w:val="es-MX"/>
        </w:rPr>
        <w:t xml:space="preserve">dado a </w:t>
      </w:r>
      <w:r w:rsidR="009E5738" w:rsidRPr="00923B7F">
        <w:rPr>
          <w:rFonts w:eastAsia="Calibri"/>
          <w:lang w:val="es-MX"/>
        </w:rPr>
        <w:t xml:space="preserve">que está </w:t>
      </w:r>
      <w:r w:rsidR="009566C8" w:rsidRPr="00923B7F">
        <w:rPr>
          <w:rFonts w:eastAsia="Calibri"/>
          <w:lang w:val="es-MX"/>
        </w:rPr>
        <w:t>sujet</w:t>
      </w:r>
      <w:r w:rsidR="00F770F5" w:rsidRPr="00923B7F">
        <w:rPr>
          <w:rFonts w:eastAsia="Calibri"/>
          <w:lang w:val="es-MX"/>
        </w:rPr>
        <w:t>a</w:t>
      </w:r>
      <w:r w:rsidR="009566C8" w:rsidRPr="00923B7F">
        <w:rPr>
          <w:rFonts w:eastAsia="Calibri"/>
          <w:lang w:val="es-MX"/>
        </w:rPr>
        <w:t xml:space="preserve"> a </w:t>
      </w:r>
      <w:r w:rsidR="00E86FB7" w:rsidRPr="00923B7F">
        <w:rPr>
          <w:rFonts w:eastAsia="Calibri"/>
          <w:lang w:val="es-MX"/>
        </w:rPr>
        <w:t>una</w:t>
      </w:r>
      <w:r w:rsidR="00836491" w:rsidRPr="00923B7F">
        <w:rPr>
          <w:rFonts w:eastAsia="Calibri"/>
          <w:lang w:val="es-MX"/>
        </w:rPr>
        <w:t xml:space="preserve"> aplicación </w:t>
      </w:r>
      <w:r w:rsidR="00923B7F" w:rsidRPr="00923B7F">
        <w:rPr>
          <w:rFonts w:eastAsia="Calibri"/>
          <w:lang w:val="es-MX"/>
        </w:rPr>
        <w:t>generalizada y dura por parte de</w:t>
      </w:r>
      <w:r w:rsidR="00E86FB7" w:rsidRPr="00923B7F">
        <w:rPr>
          <w:rFonts w:eastAsia="Calibri"/>
          <w:lang w:val="es-MX"/>
        </w:rPr>
        <w:t xml:space="preserve"> la vigilancia fronteriza </w:t>
      </w:r>
      <w:r w:rsidR="00836491" w:rsidRPr="00923B7F">
        <w:rPr>
          <w:rFonts w:eastAsia="Calibri"/>
          <w:lang w:val="es-MX"/>
        </w:rPr>
        <w:t xml:space="preserve">y </w:t>
      </w:r>
      <w:r w:rsidR="00923B7F" w:rsidRPr="00923B7F">
        <w:rPr>
          <w:rFonts w:eastAsia="Calibri"/>
          <w:lang w:val="es-MX"/>
        </w:rPr>
        <w:t xml:space="preserve">se convierte </w:t>
      </w:r>
      <w:r w:rsidR="00121AD8" w:rsidRPr="00923B7F">
        <w:rPr>
          <w:rFonts w:eastAsia="Calibri"/>
          <w:lang w:val="es-MX"/>
        </w:rPr>
        <w:t>así</w:t>
      </w:r>
      <w:r w:rsidR="00836491" w:rsidRPr="00923B7F">
        <w:rPr>
          <w:rFonts w:eastAsia="Calibri"/>
          <w:lang w:val="es-MX"/>
        </w:rPr>
        <w:t xml:space="preserve"> </w:t>
      </w:r>
      <w:r w:rsidR="00836491">
        <w:rPr>
          <w:rFonts w:eastAsia="Calibri"/>
          <w:lang w:val="es-MX"/>
        </w:rPr>
        <w:t xml:space="preserve">en una ubicación </w:t>
      </w:r>
      <w:r w:rsidR="00897AD5">
        <w:rPr>
          <w:rFonts w:eastAsia="Calibri"/>
          <w:lang w:val="es-MX"/>
        </w:rPr>
        <w:t>vital para crear los derechos</w:t>
      </w:r>
      <w:r w:rsidR="00836491">
        <w:rPr>
          <w:rFonts w:eastAsia="Calibri"/>
          <w:lang w:val="es-MX"/>
        </w:rPr>
        <w:t xml:space="preserve"> de los inmigrantes y </w:t>
      </w:r>
      <w:r w:rsidR="0022012A">
        <w:rPr>
          <w:rFonts w:eastAsia="Calibri"/>
          <w:lang w:val="es-MX"/>
        </w:rPr>
        <w:t xml:space="preserve">para </w:t>
      </w:r>
      <w:r w:rsidR="00836491">
        <w:rPr>
          <w:rFonts w:eastAsia="Calibri"/>
          <w:lang w:val="es-MX"/>
        </w:rPr>
        <w:t xml:space="preserve">los derechos humanos en general, en los </w:t>
      </w:r>
      <w:r w:rsidR="00897AD5">
        <w:rPr>
          <w:rFonts w:eastAsia="Calibri"/>
          <w:lang w:val="es-MX"/>
        </w:rPr>
        <w:t xml:space="preserve"> Estados Unidos </w:t>
      </w:r>
      <w:r w:rsidR="00897AD5" w:rsidRPr="00897AD5">
        <w:rPr>
          <w:rFonts w:eastAsia="Calibri"/>
          <w:lang w:val="es-MX"/>
        </w:rPr>
        <w:t>(Heyman, 2004).</w:t>
      </w:r>
      <w:r w:rsidR="00923B7F">
        <w:rPr>
          <w:rFonts w:eastAsia="Calibri"/>
          <w:lang w:val="es-MX"/>
        </w:rPr>
        <w:t xml:space="preserve"> </w:t>
      </w:r>
      <w:r w:rsidR="00897AD5" w:rsidRPr="00897AD5">
        <w:rPr>
          <w:rFonts w:eastAsia="Calibri"/>
          <w:lang w:val="es-MX"/>
        </w:rPr>
        <w:t>Comenzaremos</w:t>
      </w:r>
      <w:r w:rsidR="000E3329">
        <w:rPr>
          <w:rFonts w:eastAsia="Calibri"/>
          <w:lang w:val="es-MX"/>
        </w:rPr>
        <w:t xml:space="preserve"> por probar la hipótesis </w:t>
      </w:r>
      <w:r w:rsidR="009566C8">
        <w:rPr>
          <w:rFonts w:eastAsia="Calibri"/>
          <w:lang w:val="es-MX"/>
        </w:rPr>
        <w:t>sobre la probabilidad de</w:t>
      </w:r>
      <w:r w:rsidR="00131149">
        <w:rPr>
          <w:rFonts w:eastAsia="Calibri"/>
          <w:lang w:val="es-MX"/>
        </w:rPr>
        <w:t xml:space="preserve"> que las agencias de</w:t>
      </w:r>
      <w:r w:rsidR="00897AD5" w:rsidRPr="00897AD5">
        <w:rPr>
          <w:rFonts w:eastAsia="Calibri"/>
          <w:lang w:val="es-MX"/>
        </w:rPr>
        <w:t xml:space="preserve"> aplicación de la ley </w:t>
      </w:r>
      <w:r w:rsidR="000E3329">
        <w:rPr>
          <w:rFonts w:eastAsia="Calibri"/>
          <w:lang w:val="es-MX"/>
        </w:rPr>
        <w:t xml:space="preserve"> pregunte</w:t>
      </w:r>
      <w:r w:rsidR="00131149">
        <w:rPr>
          <w:rFonts w:eastAsia="Calibri"/>
          <w:lang w:val="es-MX"/>
        </w:rPr>
        <w:t>n</w:t>
      </w:r>
      <w:r w:rsidR="000E3329">
        <w:rPr>
          <w:rFonts w:eastAsia="Calibri"/>
          <w:lang w:val="es-MX"/>
        </w:rPr>
        <w:t xml:space="preserve"> </w:t>
      </w:r>
      <w:r w:rsidR="009566C8">
        <w:rPr>
          <w:rFonts w:eastAsia="Calibri"/>
          <w:lang w:val="es-MX"/>
        </w:rPr>
        <w:lastRenderedPageBreak/>
        <w:t xml:space="preserve">más </w:t>
      </w:r>
      <w:r w:rsidR="000E3329">
        <w:rPr>
          <w:rFonts w:eastAsia="Calibri"/>
          <w:lang w:val="es-MX"/>
        </w:rPr>
        <w:t xml:space="preserve">a las primeras y </w:t>
      </w:r>
      <w:r w:rsidR="00897AD5" w:rsidRPr="00897AD5">
        <w:rPr>
          <w:rFonts w:eastAsia="Calibri"/>
          <w:lang w:val="es-MX"/>
        </w:rPr>
        <w:t xml:space="preserve">segundas generaciones su </w:t>
      </w:r>
      <w:r w:rsidR="000E3329">
        <w:rPr>
          <w:rFonts w:eastAsia="Calibri"/>
          <w:lang w:val="es-MX"/>
        </w:rPr>
        <w:t xml:space="preserve">estatus </w:t>
      </w:r>
      <w:r w:rsidR="00897AD5" w:rsidRPr="00897AD5">
        <w:rPr>
          <w:rFonts w:eastAsia="Calibri"/>
          <w:lang w:val="es-MX"/>
        </w:rPr>
        <w:t>de ciudadanía</w:t>
      </w:r>
      <w:r w:rsidR="0009421D">
        <w:rPr>
          <w:rFonts w:eastAsia="Calibri"/>
          <w:lang w:val="es-MX"/>
        </w:rPr>
        <w:t xml:space="preserve"> </w:t>
      </w:r>
      <w:r w:rsidR="00131149">
        <w:rPr>
          <w:rFonts w:eastAsia="Calibri"/>
          <w:lang w:val="es-MX"/>
        </w:rPr>
        <w:t xml:space="preserve">que </w:t>
      </w:r>
      <w:r w:rsidR="000E3329">
        <w:rPr>
          <w:rFonts w:eastAsia="Calibri"/>
          <w:lang w:val="es-MX"/>
        </w:rPr>
        <w:t xml:space="preserve">a las </w:t>
      </w:r>
      <w:r w:rsidR="0009421D">
        <w:rPr>
          <w:rFonts w:eastAsia="Calibri"/>
          <w:lang w:val="es-MX"/>
        </w:rPr>
        <w:t xml:space="preserve">terceras generaciones </w:t>
      </w:r>
      <w:r w:rsidR="000E3329">
        <w:rPr>
          <w:rFonts w:eastAsia="Calibri"/>
          <w:lang w:val="es-MX"/>
        </w:rPr>
        <w:t>y posteriores</w:t>
      </w:r>
      <w:r w:rsidR="0009421D">
        <w:rPr>
          <w:rFonts w:eastAsia="Calibri"/>
          <w:lang w:val="es-MX"/>
        </w:rPr>
        <w:t xml:space="preserve">. </w:t>
      </w:r>
      <w:r w:rsidR="000E3329">
        <w:rPr>
          <w:rFonts w:eastAsia="Calibri"/>
          <w:lang w:val="es-MX"/>
        </w:rPr>
        <w:t xml:space="preserve">Después, </w:t>
      </w:r>
      <w:r w:rsidR="0009421D">
        <w:rPr>
          <w:rFonts w:eastAsia="Calibri"/>
          <w:lang w:val="es-MX"/>
        </w:rPr>
        <w:t>analiza</w:t>
      </w:r>
      <w:r w:rsidR="009566C8">
        <w:rPr>
          <w:rFonts w:eastAsia="Calibri"/>
          <w:lang w:val="es-MX"/>
        </w:rPr>
        <w:t>re</w:t>
      </w:r>
      <w:r w:rsidR="0009421D">
        <w:rPr>
          <w:rFonts w:eastAsia="Calibri"/>
          <w:lang w:val="es-MX"/>
        </w:rPr>
        <w:t xml:space="preserve">mos la influencia </w:t>
      </w:r>
      <w:r w:rsidR="000E3329">
        <w:rPr>
          <w:rFonts w:eastAsia="Calibri"/>
          <w:lang w:val="es-MX"/>
        </w:rPr>
        <w:t xml:space="preserve">de los efectos del vecindario sobre la probabilidad de </w:t>
      </w:r>
      <w:r w:rsidR="0009421D">
        <w:rPr>
          <w:rFonts w:eastAsia="Calibri"/>
          <w:lang w:val="es-MX"/>
        </w:rPr>
        <w:t xml:space="preserve">que </w:t>
      </w:r>
      <w:r w:rsidR="000E3329">
        <w:rPr>
          <w:rFonts w:eastAsia="Calibri"/>
          <w:lang w:val="es-MX"/>
        </w:rPr>
        <w:t xml:space="preserve">a </w:t>
      </w:r>
      <w:r w:rsidR="0009421D">
        <w:rPr>
          <w:rFonts w:eastAsia="Calibri"/>
          <w:lang w:val="es-MX"/>
        </w:rPr>
        <w:t xml:space="preserve">los individuos </w:t>
      </w:r>
      <w:r w:rsidR="00131149">
        <w:rPr>
          <w:rFonts w:eastAsia="Calibri"/>
          <w:lang w:val="es-MX"/>
        </w:rPr>
        <w:t>se</w:t>
      </w:r>
      <w:r w:rsidR="001D53AF">
        <w:rPr>
          <w:rFonts w:eastAsia="Calibri"/>
          <w:lang w:val="es-MX"/>
        </w:rPr>
        <w:t xml:space="preserve"> </w:t>
      </w:r>
      <w:r w:rsidR="000E3329">
        <w:rPr>
          <w:rFonts w:eastAsia="Calibri"/>
          <w:lang w:val="es-MX"/>
        </w:rPr>
        <w:t>les pregunte</w:t>
      </w:r>
      <w:r w:rsidR="0009421D">
        <w:rPr>
          <w:rFonts w:eastAsia="Calibri"/>
          <w:lang w:val="es-MX"/>
        </w:rPr>
        <w:t xml:space="preserve"> su </w:t>
      </w:r>
      <w:r w:rsidR="000E3329">
        <w:rPr>
          <w:rFonts w:eastAsia="Calibri"/>
          <w:lang w:val="es-MX"/>
        </w:rPr>
        <w:t xml:space="preserve">estatus de </w:t>
      </w:r>
      <w:r w:rsidR="0009421D">
        <w:rPr>
          <w:rFonts w:eastAsia="Calibri"/>
          <w:lang w:val="es-MX"/>
        </w:rPr>
        <w:t xml:space="preserve">ciudadanía utilizando procedimientos de </w:t>
      </w:r>
      <w:r w:rsidR="001D53AF">
        <w:rPr>
          <w:rFonts w:eastAsia="Calibri"/>
          <w:lang w:val="es-MX"/>
        </w:rPr>
        <w:t>modelos jerárquicos lineales (HGLM</w:t>
      </w:r>
      <w:r w:rsidR="009566C8">
        <w:rPr>
          <w:rFonts w:eastAsia="Calibri"/>
          <w:lang w:val="es-MX"/>
        </w:rPr>
        <w:t>,</w:t>
      </w:r>
      <w:r w:rsidR="001D53AF">
        <w:rPr>
          <w:rFonts w:eastAsia="Calibri"/>
          <w:lang w:val="es-MX"/>
        </w:rPr>
        <w:t xml:space="preserve"> por sus siglas en inglé</w:t>
      </w:r>
      <w:r w:rsidR="0009421D">
        <w:rPr>
          <w:rFonts w:eastAsia="Calibri"/>
          <w:lang w:val="es-MX"/>
        </w:rPr>
        <w:t xml:space="preserve">s). </w:t>
      </w:r>
      <w:r w:rsidR="001D53AF">
        <w:rPr>
          <w:rFonts w:eastAsia="Calibri"/>
          <w:lang w:val="es-MX"/>
        </w:rPr>
        <w:t>De manera específica</w:t>
      </w:r>
      <w:r w:rsidR="0009421D">
        <w:rPr>
          <w:rFonts w:eastAsia="Calibri"/>
          <w:lang w:val="es-MX"/>
        </w:rPr>
        <w:t>, determinaremos si los individuos que habitan en vecinda</w:t>
      </w:r>
      <w:r w:rsidR="001D53AF">
        <w:rPr>
          <w:rFonts w:eastAsia="Calibri"/>
          <w:lang w:val="es-MX"/>
        </w:rPr>
        <w:t>rios pobres o en enclaves étnico</w:t>
      </w:r>
      <w:r w:rsidR="0009421D">
        <w:rPr>
          <w:rFonts w:eastAsia="Calibri"/>
          <w:lang w:val="es-MX"/>
        </w:rPr>
        <w:t>s/</w:t>
      </w:r>
      <w:r w:rsidR="001D53AF">
        <w:rPr>
          <w:rFonts w:eastAsia="Calibri"/>
          <w:lang w:val="es-MX"/>
        </w:rPr>
        <w:t xml:space="preserve">de </w:t>
      </w:r>
      <w:r w:rsidR="0009421D">
        <w:rPr>
          <w:rFonts w:eastAsia="Calibri"/>
          <w:lang w:val="es-MX"/>
        </w:rPr>
        <w:t xml:space="preserve">inmigrantes </w:t>
      </w:r>
      <w:r w:rsidR="009566C8">
        <w:rPr>
          <w:rFonts w:eastAsia="Calibri"/>
          <w:lang w:val="es-MX"/>
        </w:rPr>
        <w:t>tienen más probabilidad</w:t>
      </w:r>
      <w:r w:rsidR="001D53AF">
        <w:rPr>
          <w:rFonts w:eastAsia="Calibri"/>
          <w:lang w:val="es-MX"/>
        </w:rPr>
        <w:t xml:space="preserve"> </w:t>
      </w:r>
      <w:r w:rsidR="00923B7F">
        <w:rPr>
          <w:rFonts w:eastAsia="Calibri"/>
          <w:lang w:val="es-MX"/>
        </w:rPr>
        <w:t xml:space="preserve">de que ser sujetos </w:t>
      </w:r>
      <w:r w:rsidR="001D53AF">
        <w:rPr>
          <w:rFonts w:eastAsia="Calibri"/>
          <w:lang w:val="es-MX"/>
        </w:rPr>
        <w:t xml:space="preserve">a la categorización de ciudadanía.  </w:t>
      </w:r>
    </w:p>
    <w:p w14:paraId="5E948594" w14:textId="39D22486" w:rsidR="00BA596D" w:rsidRPr="00BC38B8" w:rsidRDefault="002F3893" w:rsidP="00F0717A">
      <w:pPr>
        <w:spacing w:line="480" w:lineRule="auto"/>
        <w:jc w:val="both"/>
        <w:rPr>
          <w:rFonts w:eastAsia="Calibri"/>
          <w:lang w:val="es-MX"/>
        </w:rPr>
      </w:pPr>
      <w:r w:rsidRPr="00BC38B8">
        <w:rPr>
          <w:rFonts w:eastAsia="Calibri"/>
          <w:lang w:val="es-MX"/>
        </w:rPr>
        <w:t>PERFIL</w:t>
      </w:r>
      <w:r w:rsidR="001D53AF">
        <w:rPr>
          <w:rFonts w:eastAsia="Calibri"/>
          <w:lang w:val="es-MX"/>
        </w:rPr>
        <w:t xml:space="preserve"> DE CIUDADANIA </w:t>
      </w:r>
    </w:p>
    <w:p w14:paraId="06D66A27" w14:textId="3594B628" w:rsidR="002F3893" w:rsidRDefault="00A34C15" w:rsidP="00F0717A">
      <w:pPr>
        <w:spacing w:line="480" w:lineRule="auto"/>
        <w:jc w:val="both"/>
        <w:rPr>
          <w:rFonts w:eastAsia="Calibri"/>
          <w:lang w:val="es-MX"/>
        </w:rPr>
      </w:pPr>
      <w:r w:rsidRPr="00BC38B8">
        <w:rPr>
          <w:rFonts w:eastAsia="Calibri"/>
          <w:lang w:val="es-MX"/>
        </w:rPr>
        <w:tab/>
      </w:r>
      <w:r w:rsidR="00554CC8" w:rsidRPr="00BC38B8">
        <w:rPr>
          <w:rFonts w:eastAsia="Calibri"/>
          <w:lang w:val="es-MX"/>
        </w:rPr>
        <w:t xml:space="preserve"> </w:t>
      </w:r>
      <w:r w:rsidR="002F3893">
        <w:rPr>
          <w:rFonts w:eastAsia="Calibri"/>
          <w:lang w:val="es-MX"/>
        </w:rPr>
        <w:t>Existe una investiga</w:t>
      </w:r>
      <w:r w:rsidR="001D53AF">
        <w:rPr>
          <w:rFonts w:eastAsia="Calibri"/>
          <w:lang w:val="es-MX"/>
        </w:rPr>
        <w:t>ción limitada sobre</w:t>
      </w:r>
      <w:r w:rsidR="002F3893" w:rsidRPr="002F3893">
        <w:rPr>
          <w:rFonts w:eastAsia="Calibri"/>
          <w:lang w:val="es-MX"/>
        </w:rPr>
        <w:t xml:space="preserve"> la elaboración de</w:t>
      </w:r>
      <w:r w:rsidR="00131149">
        <w:rPr>
          <w:rFonts w:eastAsia="Calibri"/>
          <w:lang w:val="es-MX"/>
        </w:rPr>
        <w:t>l</w:t>
      </w:r>
      <w:r w:rsidR="002F3893" w:rsidRPr="002F3893">
        <w:rPr>
          <w:rFonts w:eastAsia="Calibri"/>
          <w:lang w:val="es-MX"/>
        </w:rPr>
        <w:t xml:space="preserve"> perfil </w:t>
      </w:r>
      <w:r w:rsidR="00131149">
        <w:rPr>
          <w:rFonts w:eastAsia="Calibri"/>
          <w:lang w:val="es-MX"/>
        </w:rPr>
        <w:t xml:space="preserve">de ciudadanía </w:t>
      </w:r>
      <w:r w:rsidR="002F3893" w:rsidRPr="002F3893">
        <w:rPr>
          <w:rFonts w:eastAsia="Calibri"/>
          <w:lang w:val="es-MX"/>
        </w:rPr>
        <w:t xml:space="preserve">y </w:t>
      </w:r>
      <w:r w:rsidR="0079169D">
        <w:rPr>
          <w:rFonts w:eastAsia="Calibri"/>
          <w:lang w:val="es-MX"/>
        </w:rPr>
        <w:t>por lo tanto</w:t>
      </w:r>
      <w:r w:rsidR="00923B7F">
        <w:rPr>
          <w:rFonts w:eastAsia="Calibri"/>
          <w:lang w:val="es-MX"/>
        </w:rPr>
        <w:t xml:space="preserve"> </w:t>
      </w:r>
      <w:r w:rsidR="00DB2A19">
        <w:rPr>
          <w:rFonts w:eastAsia="Calibri"/>
          <w:lang w:val="es-MX"/>
        </w:rPr>
        <w:t xml:space="preserve">para </w:t>
      </w:r>
      <w:r w:rsidR="002F3893">
        <w:rPr>
          <w:rFonts w:eastAsia="Calibri"/>
          <w:lang w:val="es-MX"/>
        </w:rPr>
        <w:t>establ</w:t>
      </w:r>
      <w:r w:rsidR="00DB2A19">
        <w:rPr>
          <w:rFonts w:eastAsia="Calibri"/>
          <w:lang w:val="es-MX"/>
        </w:rPr>
        <w:t xml:space="preserve">ecer </w:t>
      </w:r>
      <w:r w:rsidR="00131149">
        <w:rPr>
          <w:rFonts w:eastAsia="Calibri"/>
          <w:lang w:val="es-MX"/>
        </w:rPr>
        <w:t xml:space="preserve">mejor </w:t>
      </w:r>
      <w:r w:rsidR="00DB2A19">
        <w:rPr>
          <w:rFonts w:eastAsia="Calibri"/>
          <w:lang w:val="es-MX"/>
        </w:rPr>
        <w:t xml:space="preserve">una imagen conceptual </w:t>
      </w:r>
      <w:r w:rsidR="0079169D">
        <w:rPr>
          <w:rFonts w:eastAsia="Calibri"/>
          <w:lang w:val="es-MX"/>
        </w:rPr>
        <w:t xml:space="preserve">tomada </w:t>
      </w:r>
      <w:r w:rsidR="002F3893">
        <w:rPr>
          <w:rFonts w:eastAsia="Calibri"/>
          <w:lang w:val="es-MX"/>
        </w:rPr>
        <w:t>de</w:t>
      </w:r>
      <w:r w:rsidR="00923B7F">
        <w:rPr>
          <w:rFonts w:eastAsia="Calibri"/>
          <w:lang w:val="es-MX"/>
        </w:rPr>
        <w:t xml:space="preserve"> una variedad </w:t>
      </w:r>
      <w:r w:rsidR="00DB2A19">
        <w:rPr>
          <w:rFonts w:eastAsia="Calibri"/>
          <w:lang w:val="es-MX"/>
        </w:rPr>
        <w:t>de información.</w:t>
      </w:r>
      <w:r w:rsidR="002F3893">
        <w:rPr>
          <w:rFonts w:eastAsia="Calibri"/>
          <w:lang w:val="es-MX"/>
        </w:rPr>
        <w:t xml:space="preserve"> La </w:t>
      </w:r>
      <w:r w:rsidR="0067739E">
        <w:rPr>
          <w:rFonts w:eastAsia="Calibri"/>
          <w:lang w:val="es-MX"/>
        </w:rPr>
        <w:t>mayoría</w:t>
      </w:r>
      <w:r w:rsidR="00EE1CC3">
        <w:rPr>
          <w:rFonts w:eastAsia="Calibri"/>
          <w:lang w:val="es-MX"/>
        </w:rPr>
        <w:t xml:space="preserve"> de la literatura sobre</w:t>
      </w:r>
      <w:r w:rsidR="002F3893">
        <w:rPr>
          <w:rFonts w:eastAsia="Calibri"/>
          <w:lang w:val="es-MX"/>
        </w:rPr>
        <w:t xml:space="preserve"> </w:t>
      </w:r>
      <w:r w:rsidR="00DB2A19">
        <w:rPr>
          <w:rFonts w:eastAsia="Calibri"/>
          <w:lang w:val="es-MX"/>
        </w:rPr>
        <w:t>vigilancia migratori</w:t>
      </w:r>
      <w:r w:rsidR="00EE1CC3">
        <w:rPr>
          <w:rFonts w:eastAsia="Calibri"/>
          <w:lang w:val="es-MX"/>
        </w:rPr>
        <w:t>a se ha enfocado en  factores a</w:t>
      </w:r>
      <w:r w:rsidR="00DB2A19">
        <w:rPr>
          <w:rFonts w:eastAsia="Calibri"/>
          <w:lang w:val="es-MX"/>
        </w:rPr>
        <w:t xml:space="preserve"> nivel individual.</w:t>
      </w:r>
      <w:r w:rsidR="0067739E">
        <w:rPr>
          <w:rFonts w:eastAsia="Calibri"/>
          <w:lang w:val="es-MX"/>
        </w:rPr>
        <w:t xml:space="preserve"> Por lo tanto, comenzaremos </w:t>
      </w:r>
      <w:r w:rsidR="00D057EB">
        <w:rPr>
          <w:rFonts w:eastAsia="Calibri"/>
          <w:lang w:val="es-MX"/>
        </w:rPr>
        <w:t xml:space="preserve">discutiendo como </w:t>
      </w:r>
      <w:r w:rsidR="00DB2A19">
        <w:rPr>
          <w:rFonts w:eastAsia="Calibri"/>
          <w:lang w:val="es-MX"/>
        </w:rPr>
        <w:t>el origen étnico y el estatus de ciudadanía</w:t>
      </w:r>
      <w:r w:rsidR="00EE1CC3">
        <w:rPr>
          <w:rFonts w:eastAsia="Calibri"/>
          <w:lang w:val="es-MX"/>
        </w:rPr>
        <w:t xml:space="preserve"> se </w:t>
      </w:r>
      <w:r w:rsidR="00A27393">
        <w:rPr>
          <w:rFonts w:eastAsia="Calibri"/>
          <w:lang w:val="es-MX"/>
        </w:rPr>
        <w:t>entrelazan afectando a quien</w:t>
      </w:r>
      <w:r w:rsidR="00923B7F">
        <w:rPr>
          <w:rFonts w:eastAsia="Calibri"/>
          <w:lang w:val="es-MX"/>
        </w:rPr>
        <w:t>es</w:t>
      </w:r>
      <w:r w:rsidR="00EE1CC3">
        <w:rPr>
          <w:rFonts w:eastAsia="Calibri"/>
          <w:lang w:val="es-MX"/>
        </w:rPr>
        <w:t xml:space="preserve"> la</w:t>
      </w:r>
      <w:r w:rsidR="00A27393">
        <w:rPr>
          <w:rFonts w:eastAsia="Calibri"/>
          <w:lang w:val="es-MX"/>
        </w:rPr>
        <w:t>s agencias policiacas cuestiona</w:t>
      </w:r>
      <w:r w:rsidR="00923B7F">
        <w:rPr>
          <w:rFonts w:eastAsia="Calibri"/>
          <w:lang w:val="es-MX"/>
        </w:rPr>
        <w:t>n</w:t>
      </w:r>
      <w:r w:rsidR="00EE1CC3">
        <w:rPr>
          <w:rFonts w:eastAsia="Calibri"/>
          <w:lang w:val="es-MX"/>
        </w:rPr>
        <w:t xml:space="preserve"> su estatus ciudadano. </w:t>
      </w:r>
      <w:r w:rsidR="004865C7">
        <w:rPr>
          <w:rFonts w:eastAsia="Calibri"/>
          <w:lang w:val="es-MX"/>
        </w:rPr>
        <w:t>E</w:t>
      </w:r>
      <w:r w:rsidR="00D057EB">
        <w:rPr>
          <w:rFonts w:eastAsia="Calibri"/>
          <w:lang w:val="es-MX"/>
        </w:rPr>
        <w:t>xamina</w:t>
      </w:r>
      <w:r w:rsidR="00EE1CC3">
        <w:rPr>
          <w:rFonts w:eastAsia="Calibri"/>
          <w:lang w:val="es-MX"/>
        </w:rPr>
        <w:t>re</w:t>
      </w:r>
      <w:r w:rsidR="00D057EB">
        <w:rPr>
          <w:rFonts w:eastAsia="Calibri"/>
          <w:lang w:val="es-MX"/>
        </w:rPr>
        <w:t>mos</w:t>
      </w:r>
      <w:r w:rsidR="004865C7">
        <w:rPr>
          <w:rFonts w:eastAsia="Calibri"/>
          <w:lang w:val="es-MX"/>
        </w:rPr>
        <w:t xml:space="preserve"> posteriormente las</w:t>
      </w:r>
      <w:r w:rsidR="00D057EB">
        <w:rPr>
          <w:rFonts w:eastAsia="Calibri"/>
          <w:lang w:val="es-MX"/>
        </w:rPr>
        <w:t xml:space="preserve"> prácticas</w:t>
      </w:r>
      <w:r w:rsidR="00EE1CC3">
        <w:rPr>
          <w:rFonts w:eastAsia="Calibri"/>
          <w:lang w:val="es-MX"/>
        </w:rPr>
        <w:t xml:space="preserve"> de vigilancia discreciona</w:t>
      </w:r>
      <w:r w:rsidR="004865C7">
        <w:rPr>
          <w:rFonts w:eastAsia="Calibri"/>
          <w:lang w:val="es-MX"/>
        </w:rPr>
        <w:t xml:space="preserve">l especialmente en lo que se refiere a la vigilancia migratoria. </w:t>
      </w:r>
      <w:r w:rsidR="00D057EB">
        <w:rPr>
          <w:rFonts w:eastAsia="Calibri"/>
          <w:lang w:val="es-MX"/>
        </w:rPr>
        <w:t xml:space="preserve">Por último, </w:t>
      </w:r>
      <w:r w:rsidR="00550CED">
        <w:rPr>
          <w:rFonts w:eastAsia="Calibri"/>
          <w:lang w:val="es-MX"/>
        </w:rPr>
        <w:t>volve</w:t>
      </w:r>
      <w:r w:rsidR="00A27393">
        <w:rPr>
          <w:rFonts w:eastAsia="Calibri"/>
          <w:lang w:val="es-MX"/>
        </w:rPr>
        <w:t>re</w:t>
      </w:r>
      <w:r w:rsidR="00550CED">
        <w:rPr>
          <w:rFonts w:eastAsia="Calibri"/>
          <w:lang w:val="es-MX"/>
        </w:rPr>
        <w:t xml:space="preserve">mos a los factores contextuales </w:t>
      </w:r>
      <w:r w:rsidR="00EE1CC3">
        <w:rPr>
          <w:rFonts w:eastAsia="Calibri"/>
          <w:lang w:val="es-MX"/>
        </w:rPr>
        <w:t>a</w:t>
      </w:r>
      <w:r w:rsidR="00550CED">
        <w:rPr>
          <w:rFonts w:eastAsia="Calibri"/>
          <w:lang w:val="es-MX"/>
        </w:rPr>
        <w:t xml:space="preserve"> nivel vecindario que pueden afectar a quienes las agencias policiacas cuestionan su estatus de ciudadanía</w:t>
      </w:r>
      <w:r w:rsidR="00CE2D86">
        <w:rPr>
          <w:rFonts w:eastAsia="Calibri"/>
          <w:lang w:val="es-MX"/>
        </w:rPr>
        <w:t>.</w:t>
      </w:r>
    </w:p>
    <w:p w14:paraId="5B7FBE79" w14:textId="77777777" w:rsidR="00A27393" w:rsidRDefault="00A27393" w:rsidP="00F0717A">
      <w:pPr>
        <w:spacing w:line="480" w:lineRule="auto"/>
        <w:jc w:val="both"/>
        <w:rPr>
          <w:lang w:val="es-MX"/>
        </w:rPr>
      </w:pPr>
    </w:p>
    <w:p w14:paraId="7A9FD1B3" w14:textId="1F67F650" w:rsidR="00A25D2A" w:rsidRPr="00BC38B8" w:rsidRDefault="00D057EB" w:rsidP="00F0717A">
      <w:pPr>
        <w:spacing w:line="480" w:lineRule="auto"/>
        <w:jc w:val="both"/>
        <w:rPr>
          <w:lang w:val="es-MX"/>
        </w:rPr>
      </w:pPr>
      <w:r w:rsidRPr="00BC38B8">
        <w:rPr>
          <w:lang w:val="es-MX"/>
        </w:rPr>
        <w:t xml:space="preserve">NIVEL-INDIVIDUAL </w:t>
      </w:r>
    </w:p>
    <w:p w14:paraId="2BE37A21" w14:textId="536C39A3" w:rsidR="00554CC8" w:rsidRPr="00BC38B8" w:rsidRDefault="00CE2D86" w:rsidP="00F0717A">
      <w:pPr>
        <w:spacing w:line="480" w:lineRule="auto"/>
        <w:jc w:val="both"/>
        <w:rPr>
          <w:u w:val="single"/>
          <w:lang w:val="es-MX"/>
        </w:rPr>
      </w:pPr>
      <w:r>
        <w:rPr>
          <w:u w:val="single"/>
          <w:lang w:val="es-MX"/>
        </w:rPr>
        <w:t xml:space="preserve">Perfil racial </w:t>
      </w:r>
      <w:r w:rsidR="00923B7F">
        <w:rPr>
          <w:u w:val="single"/>
          <w:lang w:val="es-MX"/>
        </w:rPr>
        <w:t xml:space="preserve">y de </w:t>
      </w:r>
      <w:r>
        <w:rPr>
          <w:u w:val="single"/>
          <w:lang w:val="es-MX"/>
        </w:rPr>
        <w:t>ciudadanía</w:t>
      </w:r>
    </w:p>
    <w:p w14:paraId="21995B90" w14:textId="7926A51B" w:rsidR="00116912" w:rsidRPr="00116912" w:rsidRDefault="00F3535F" w:rsidP="00F0717A">
      <w:pPr>
        <w:spacing w:line="480" w:lineRule="auto"/>
        <w:ind w:firstLine="720"/>
        <w:jc w:val="both"/>
        <w:rPr>
          <w:rFonts w:eastAsia="Calibri"/>
          <w:lang w:val="es-MX"/>
        </w:rPr>
      </w:pPr>
      <w:r w:rsidRPr="00F3535F">
        <w:rPr>
          <w:rFonts w:eastAsia="Calibri"/>
          <w:lang w:val="es-MX"/>
        </w:rPr>
        <w:t xml:space="preserve">La </w:t>
      </w:r>
      <w:r w:rsidR="00116912" w:rsidRPr="00F3535F">
        <w:rPr>
          <w:rFonts w:eastAsia="Calibri"/>
          <w:lang w:val="es-MX"/>
        </w:rPr>
        <w:t>práctica</w:t>
      </w:r>
      <w:r w:rsidR="0081092D">
        <w:rPr>
          <w:rFonts w:eastAsia="Calibri"/>
          <w:lang w:val="es-MX"/>
        </w:rPr>
        <w:t xml:space="preserve"> de detecta</w:t>
      </w:r>
      <w:r w:rsidRPr="00F3535F">
        <w:rPr>
          <w:rFonts w:eastAsia="Calibri"/>
          <w:lang w:val="es-MX"/>
        </w:rPr>
        <w:t xml:space="preserve">r inmigrantes </w:t>
      </w:r>
      <w:r>
        <w:rPr>
          <w:rFonts w:eastAsia="Calibri"/>
          <w:lang w:val="es-MX"/>
        </w:rPr>
        <w:t xml:space="preserve">indocumentados </w:t>
      </w:r>
      <w:r w:rsidR="00116912">
        <w:rPr>
          <w:rFonts w:eastAsia="Calibri"/>
          <w:lang w:val="es-MX"/>
        </w:rPr>
        <w:t>también</w:t>
      </w:r>
      <w:r w:rsidR="00CE2D86">
        <w:rPr>
          <w:rFonts w:eastAsia="Calibri"/>
          <w:lang w:val="es-MX"/>
        </w:rPr>
        <w:t xml:space="preserve"> aumenta la preocupación </w:t>
      </w:r>
      <w:r w:rsidR="0081092D">
        <w:rPr>
          <w:rFonts w:eastAsia="Calibri"/>
          <w:lang w:val="es-MX"/>
        </w:rPr>
        <w:t xml:space="preserve">obvia </w:t>
      </w:r>
      <w:r w:rsidR="00CE2D86">
        <w:rPr>
          <w:rFonts w:eastAsia="Calibri"/>
          <w:lang w:val="es-MX"/>
        </w:rPr>
        <w:t>d</w:t>
      </w:r>
      <w:r w:rsidR="00A27393">
        <w:rPr>
          <w:rFonts w:eastAsia="Calibri"/>
          <w:lang w:val="es-MX"/>
        </w:rPr>
        <w:t xml:space="preserve">el perfil racial. El impacto </w:t>
      </w:r>
      <w:r w:rsidR="00733EE8">
        <w:rPr>
          <w:rFonts w:eastAsia="Calibri"/>
          <w:lang w:val="es-MX"/>
        </w:rPr>
        <w:t>de</w:t>
      </w:r>
      <w:r w:rsidR="0081092D">
        <w:rPr>
          <w:rFonts w:eastAsia="Calibri"/>
          <w:lang w:val="es-MX"/>
        </w:rPr>
        <w:t xml:space="preserve">l enfoque legal </w:t>
      </w:r>
      <w:r w:rsidR="00CE2D86">
        <w:rPr>
          <w:rFonts w:eastAsia="Calibri"/>
          <w:lang w:val="es-MX"/>
        </w:rPr>
        <w:t xml:space="preserve">a la vigilancia </w:t>
      </w:r>
      <w:r w:rsidR="00673E65">
        <w:rPr>
          <w:rFonts w:eastAsia="Calibri"/>
          <w:lang w:val="es-MX"/>
        </w:rPr>
        <w:t>migratoria</w:t>
      </w:r>
      <w:r w:rsidR="00CE2D86">
        <w:rPr>
          <w:rFonts w:eastAsia="Calibri"/>
          <w:lang w:val="es-MX"/>
        </w:rPr>
        <w:t xml:space="preserve"> se ha dirigido particularmente a los latinos </w:t>
      </w:r>
      <w:r w:rsidR="0081092D">
        <w:rPr>
          <w:rFonts w:eastAsia="Calibri"/>
          <w:lang w:val="es-MX"/>
        </w:rPr>
        <w:t xml:space="preserve">y en especial </w:t>
      </w:r>
      <w:r w:rsidR="00CE2D86">
        <w:rPr>
          <w:rFonts w:eastAsia="Calibri"/>
          <w:lang w:val="es-MX"/>
        </w:rPr>
        <w:t xml:space="preserve">a los mexicanos pobres y </w:t>
      </w:r>
      <w:r w:rsidR="0081092D">
        <w:rPr>
          <w:rFonts w:eastAsia="Calibri"/>
          <w:lang w:val="es-MX"/>
        </w:rPr>
        <w:t xml:space="preserve">a </w:t>
      </w:r>
      <w:r w:rsidR="00CE2D86">
        <w:rPr>
          <w:rFonts w:eastAsia="Calibri"/>
          <w:lang w:val="es-MX"/>
        </w:rPr>
        <w:t xml:space="preserve">los centroamericanos. </w:t>
      </w:r>
      <w:r>
        <w:rPr>
          <w:rFonts w:eastAsia="Calibri"/>
          <w:lang w:val="es-MX"/>
        </w:rPr>
        <w:t xml:space="preserve"> </w:t>
      </w:r>
      <w:r w:rsidRPr="00F3535F">
        <w:rPr>
          <w:rFonts w:eastAsia="Calibri"/>
          <w:lang w:val="es-MX"/>
        </w:rPr>
        <w:lastRenderedPageBreak/>
        <w:t xml:space="preserve">(Chavez, 2008; Ngai, 2003; Provine and Sanchez, 2011; Provine et al., 2016).  </w:t>
      </w:r>
      <w:r w:rsidR="00673E65">
        <w:rPr>
          <w:rFonts w:eastAsia="Calibri"/>
          <w:lang w:val="es-MX"/>
        </w:rPr>
        <w:t>Como lo argument</w:t>
      </w:r>
      <w:r w:rsidR="0081092D">
        <w:rPr>
          <w:rFonts w:eastAsia="Calibri"/>
          <w:lang w:val="es-MX"/>
        </w:rPr>
        <w:t>ó</w:t>
      </w:r>
      <w:r>
        <w:rPr>
          <w:rFonts w:eastAsia="Calibri"/>
          <w:lang w:val="es-MX"/>
        </w:rPr>
        <w:t xml:space="preserve"> Prov</w:t>
      </w:r>
      <w:r w:rsidR="00965AF2">
        <w:rPr>
          <w:rFonts w:eastAsia="Calibri"/>
          <w:lang w:val="es-MX"/>
        </w:rPr>
        <w:t xml:space="preserve">ine y </w:t>
      </w:r>
      <w:r w:rsidR="00116912">
        <w:rPr>
          <w:rFonts w:eastAsia="Calibri"/>
          <w:lang w:val="es-MX"/>
        </w:rPr>
        <w:t>Sánchez</w:t>
      </w:r>
      <w:r w:rsidR="00673E65">
        <w:rPr>
          <w:rFonts w:eastAsia="Calibri"/>
          <w:lang w:val="es-MX"/>
        </w:rPr>
        <w:t xml:space="preserve"> (2011), las prácticas </w:t>
      </w:r>
      <w:r w:rsidR="00733EE8">
        <w:rPr>
          <w:rFonts w:eastAsia="Calibri"/>
          <w:lang w:val="es-MX"/>
        </w:rPr>
        <w:t xml:space="preserve">vigilancia </w:t>
      </w:r>
      <w:r w:rsidR="0079169D">
        <w:rPr>
          <w:rFonts w:eastAsia="Calibri"/>
          <w:lang w:val="es-MX"/>
        </w:rPr>
        <w:t xml:space="preserve">municipal </w:t>
      </w:r>
      <w:r w:rsidR="00673E65">
        <w:rPr>
          <w:rFonts w:eastAsia="Calibri"/>
          <w:lang w:val="es-MX"/>
        </w:rPr>
        <w:t>dirigidas a la eliminación de los inmigrantes han llevado a la categorización étnico racial</w:t>
      </w:r>
      <w:r w:rsidR="0081092D">
        <w:rPr>
          <w:rFonts w:eastAsia="Calibri"/>
          <w:lang w:val="es-MX"/>
        </w:rPr>
        <w:t>,</w:t>
      </w:r>
      <w:r w:rsidR="00673E65">
        <w:rPr>
          <w:rFonts w:eastAsia="Calibri"/>
          <w:lang w:val="es-MX"/>
        </w:rPr>
        <w:t xml:space="preserve"> híper vigilancia y detenciones abusivas. La conexión de raza, </w:t>
      </w:r>
      <w:r w:rsidR="00116912">
        <w:rPr>
          <w:rFonts w:eastAsia="Calibri"/>
          <w:lang w:val="es-MX"/>
        </w:rPr>
        <w:t xml:space="preserve">clase y </w:t>
      </w:r>
      <w:r w:rsidR="0081092D">
        <w:rPr>
          <w:rFonts w:eastAsia="Calibri"/>
          <w:lang w:val="es-MX"/>
        </w:rPr>
        <w:t>estatus</w:t>
      </w:r>
      <w:r w:rsidR="00673E65">
        <w:rPr>
          <w:rFonts w:eastAsia="Calibri"/>
          <w:lang w:val="es-MX"/>
        </w:rPr>
        <w:t xml:space="preserve"> de ciudadanía moldean la estructura social de los inmigrantes como delincuentes</w:t>
      </w:r>
      <w:r w:rsidR="00A27393">
        <w:rPr>
          <w:rFonts w:eastAsia="Calibri"/>
          <w:lang w:val="es-MX"/>
        </w:rPr>
        <w:t>,</w:t>
      </w:r>
      <w:r w:rsidR="00673E65">
        <w:rPr>
          <w:rFonts w:eastAsia="Calibri"/>
          <w:lang w:val="es-MX"/>
        </w:rPr>
        <w:t xml:space="preserve"> afectando a los ciudadanos nacidos de latinos en los E.U</w:t>
      </w:r>
      <w:r w:rsidR="0081092D">
        <w:rPr>
          <w:rFonts w:eastAsia="Calibri"/>
          <w:lang w:val="es-MX"/>
        </w:rPr>
        <w:t>.</w:t>
      </w:r>
      <w:r w:rsidR="00673E65">
        <w:rPr>
          <w:rFonts w:eastAsia="Calibri"/>
          <w:lang w:val="es-MX"/>
        </w:rPr>
        <w:t xml:space="preserve"> </w:t>
      </w:r>
      <w:r w:rsidR="00116912">
        <w:rPr>
          <w:rFonts w:eastAsia="Calibri"/>
          <w:lang w:val="es-MX"/>
        </w:rPr>
        <w:t xml:space="preserve"> </w:t>
      </w:r>
      <w:r w:rsidR="00116912" w:rsidRPr="00116912">
        <w:rPr>
          <w:rFonts w:eastAsia="Calibri"/>
          <w:lang w:val="es-MX"/>
        </w:rPr>
        <w:t>(Aranda et al., 2014)</w:t>
      </w:r>
      <w:r w:rsidR="00116912">
        <w:rPr>
          <w:rFonts w:eastAsia="Calibri"/>
          <w:lang w:val="es-MX"/>
        </w:rPr>
        <w:t xml:space="preserve"> </w:t>
      </w:r>
      <w:r w:rsidR="00673E65">
        <w:rPr>
          <w:rFonts w:eastAsia="Calibri"/>
          <w:lang w:val="es-MX"/>
        </w:rPr>
        <w:t xml:space="preserve">e incluso a los nativos no latinos </w:t>
      </w:r>
      <w:r w:rsidR="0081092D">
        <w:rPr>
          <w:rFonts w:eastAsia="Calibri"/>
          <w:lang w:val="es-MX"/>
        </w:rPr>
        <w:t>y</w:t>
      </w:r>
      <w:r w:rsidR="00116912">
        <w:rPr>
          <w:rFonts w:eastAsia="Calibri"/>
          <w:lang w:val="es-MX"/>
        </w:rPr>
        <w:t xml:space="preserve"> no inmigrantes </w:t>
      </w:r>
      <w:r w:rsidR="00116912" w:rsidRPr="00116912">
        <w:rPr>
          <w:rFonts w:eastAsia="Calibri"/>
          <w:lang w:val="es-MX"/>
        </w:rPr>
        <w:t>(Chavez, 2008; Kil et al., 2009).</w:t>
      </w:r>
    </w:p>
    <w:p w14:paraId="236D7745" w14:textId="7673D777" w:rsidR="00B90A77" w:rsidRPr="00BC38B8" w:rsidRDefault="0081092D" w:rsidP="00F0717A">
      <w:pPr>
        <w:spacing w:line="480" w:lineRule="auto"/>
        <w:ind w:firstLine="720"/>
        <w:jc w:val="both"/>
        <w:rPr>
          <w:lang w:val="es-MX"/>
        </w:rPr>
      </w:pPr>
      <w:r>
        <w:rPr>
          <w:lang w:val="es-MX"/>
        </w:rPr>
        <w:t>La a</w:t>
      </w:r>
      <w:r w:rsidR="00673E65">
        <w:rPr>
          <w:lang w:val="es-MX"/>
        </w:rPr>
        <w:t>ctitud racista de detectar</w:t>
      </w:r>
      <w:r w:rsidR="00116912" w:rsidRPr="00116912">
        <w:rPr>
          <w:lang w:val="es-MX"/>
        </w:rPr>
        <w:t xml:space="preserve"> inmigrantes indocumentados </w:t>
      </w:r>
      <w:r w:rsidR="003A1A8C">
        <w:rPr>
          <w:lang w:val="es-MX"/>
        </w:rPr>
        <w:t xml:space="preserve">ha </w:t>
      </w:r>
      <w:r w:rsidR="00673E65">
        <w:rPr>
          <w:lang w:val="es-MX"/>
        </w:rPr>
        <w:t xml:space="preserve">llevado a la deportación desproporcionada de latinos </w:t>
      </w:r>
      <w:r w:rsidR="003A1A8C" w:rsidRPr="003A1A8C">
        <w:rPr>
          <w:lang w:val="es-MX"/>
        </w:rPr>
        <w:t>(Provine et al., 2016),</w:t>
      </w:r>
      <w:r w:rsidR="00673E65">
        <w:rPr>
          <w:lang w:val="es-MX"/>
        </w:rPr>
        <w:t xml:space="preserve"> la mayoría con</w:t>
      </w:r>
      <w:r w:rsidR="003A1A8C">
        <w:rPr>
          <w:lang w:val="es-MX"/>
        </w:rPr>
        <w:t xml:space="preserve"> delitos menores </w:t>
      </w:r>
      <w:r w:rsidR="003A1A8C" w:rsidRPr="003A1A8C">
        <w:rPr>
          <w:lang w:val="es-MX"/>
        </w:rPr>
        <w:t xml:space="preserve">(Golash-Boza, 2012).  </w:t>
      </w:r>
      <w:r w:rsidR="003A1A8C">
        <w:rPr>
          <w:lang w:val="es-MX"/>
        </w:rPr>
        <w:t>De hecho, solo el 12</w:t>
      </w:r>
      <w:r w:rsidR="00673E65">
        <w:rPr>
          <w:lang w:val="es-MX"/>
        </w:rPr>
        <w:t xml:space="preserve">% </w:t>
      </w:r>
      <w:r w:rsidR="00A27393">
        <w:rPr>
          <w:lang w:val="es-MX"/>
        </w:rPr>
        <w:t>de los deportados en el 2013 ha</w:t>
      </w:r>
      <w:r w:rsidR="00673E65">
        <w:rPr>
          <w:lang w:val="es-MX"/>
        </w:rPr>
        <w:t xml:space="preserve"> cometido un</w:t>
      </w:r>
      <w:r w:rsidR="00073AEC">
        <w:rPr>
          <w:lang w:val="es-MX"/>
        </w:rPr>
        <w:t xml:space="preserve"> delito grave lo cual señala </w:t>
      </w:r>
      <w:r w:rsidR="00A27393">
        <w:rPr>
          <w:lang w:val="es-MX"/>
        </w:rPr>
        <w:t>que la apariencia de ser latino</w:t>
      </w:r>
      <w:r w:rsidR="00673E65">
        <w:rPr>
          <w:lang w:val="es-MX"/>
        </w:rPr>
        <w:t xml:space="preserve"> </w:t>
      </w:r>
      <w:r w:rsidR="00F10A9D">
        <w:rPr>
          <w:lang w:val="es-MX"/>
        </w:rPr>
        <w:t xml:space="preserve">en vez de </w:t>
      </w:r>
      <w:r w:rsidR="00523C99">
        <w:rPr>
          <w:lang w:val="es-MX"/>
        </w:rPr>
        <w:t xml:space="preserve">ser </w:t>
      </w:r>
      <w:r w:rsidR="00F10A9D">
        <w:rPr>
          <w:lang w:val="es-MX"/>
        </w:rPr>
        <w:t>un</w:t>
      </w:r>
      <w:r w:rsidR="00673E65">
        <w:rPr>
          <w:lang w:val="es-MX"/>
        </w:rPr>
        <w:t>a</w:t>
      </w:r>
      <w:r w:rsidR="00F10A9D">
        <w:rPr>
          <w:lang w:val="es-MX"/>
        </w:rPr>
        <w:t xml:space="preserve"> mal</w:t>
      </w:r>
      <w:r w:rsidR="00673E65">
        <w:rPr>
          <w:lang w:val="es-MX"/>
        </w:rPr>
        <w:t>a</w:t>
      </w:r>
      <w:r w:rsidR="00F10A9D">
        <w:rPr>
          <w:lang w:val="es-MX"/>
        </w:rPr>
        <w:t xml:space="preserve"> </w:t>
      </w:r>
      <w:r w:rsidR="00673E65">
        <w:rPr>
          <w:lang w:val="es-MX"/>
        </w:rPr>
        <w:t>conducta</w:t>
      </w:r>
      <w:r w:rsidR="00073AEC">
        <w:rPr>
          <w:lang w:val="es-MX"/>
        </w:rPr>
        <w:t>,</w:t>
      </w:r>
      <w:r w:rsidR="00673E65">
        <w:rPr>
          <w:lang w:val="es-MX"/>
        </w:rPr>
        <w:t xml:space="preserve"> </w:t>
      </w:r>
      <w:r w:rsidR="00F10A9D">
        <w:rPr>
          <w:lang w:val="es-MX"/>
        </w:rPr>
        <w:t xml:space="preserve">guía </w:t>
      </w:r>
      <w:r w:rsidR="00A27393">
        <w:rPr>
          <w:lang w:val="es-MX"/>
        </w:rPr>
        <w:t>el criterio del</w:t>
      </w:r>
      <w:r w:rsidR="00F10A9D">
        <w:rPr>
          <w:lang w:val="es-MX"/>
        </w:rPr>
        <w:t xml:space="preserve"> oficial de </w:t>
      </w:r>
      <w:r w:rsidR="00673E65">
        <w:rPr>
          <w:lang w:val="es-MX"/>
        </w:rPr>
        <w:t>policía</w:t>
      </w:r>
      <w:r w:rsidR="00F10A9D">
        <w:rPr>
          <w:lang w:val="es-MX"/>
        </w:rPr>
        <w:t xml:space="preserve">. </w:t>
      </w:r>
      <w:r w:rsidR="00F10A9D" w:rsidRPr="00BC38B8">
        <w:rPr>
          <w:lang w:val="es-MX"/>
        </w:rPr>
        <w:t>(Kennis, 2011; Provine et al., 2016).  Provine e</w:t>
      </w:r>
      <w:r w:rsidR="00BC38B8" w:rsidRPr="00BC38B8">
        <w:rPr>
          <w:lang w:val="es-MX"/>
        </w:rPr>
        <w:t xml:space="preserve">t al. (2016, 108) </w:t>
      </w:r>
      <w:r w:rsidR="0055669E">
        <w:rPr>
          <w:lang w:val="es-MX"/>
        </w:rPr>
        <w:t>a</w:t>
      </w:r>
      <w:r w:rsidR="00673E65">
        <w:rPr>
          <w:lang w:val="es-MX"/>
        </w:rPr>
        <w:t>rgumentó</w:t>
      </w:r>
      <w:r w:rsidR="00BC38B8" w:rsidRPr="00BC38B8">
        <w:rPr>
          <w:lang w:val="es-MX"/>
        </w:rPr>
        <w:t xml:space="preserve"> que “</w:t>
      </w:r>
      <w:r w:rsidR="00073AEC">
        <w:rPr>
          <w:lang w:val="es-MX"/>
        </w:rPr>
        <w:t>l</w:t>
      </w:r>
      <w:r w:rsidR="00BC38B8" w:rsidRPr="00BC38B8">
        <w:rPr>
          <w:lang w:val="es-MX"/>
        </w:rPr>
        <w:t xml:space="preserve">o que </w:t>
      </w:r>
      <w:r w:rsidR="00A27393">
        <w:rPr>
          <w:lang w:val="es-MX"/>
        </w:rPr>
        <w:t xml:space="preserve">queda </w:t>
      </w:r>
      <w:r w:rsidR="00BC38B8" w:rsidRPr="00BC38B8">
        <w:rPr>
          <w:lang w:val="es-MX"/>
        </w:rPr>
        <w:t xml:space="preserve">claro es que </w:t>
      </w:r>
      <w:r w:rsidR="00600347">
        <w:rPr>
          <w:lang w:val="es-MX"/>
        </w:rPr>
        <w:t xml:space="preserve">se ha dado el perfil racial para lograr </w:t>
      </w:r>
      <w:r w:rsidR="00073AEC">
        <w:rPr>
          <w:lang w:val="es-MX"/>
        </w:rPr>
        <w:t>resultados en las deportaci</w:t>
      </w:r>
      <w:r w:rsidR="00523C99">
        <w:rPr>
          <w:lang w:val="es-MX"/>
        </w:rPr>
        <w:t>ones y es muy</w:t>
      </w:r>
      <w:r w:rsidR="00600347">
        <w:rPr>
          <w:lang w:val="es-MX"/>
        </w:rPr>
        <w:t xml:space="preserve"> probable que </w:t>
      </w:r>
      <w:r w:rsidR="00A27393">
        <w:rPr>
          <w:lang w:val="es-MX"/>
        </w:rPr>
        <w:t xml:space="preserve">así </w:t>
      </w:r>
      <w:r w:rsidR="00600347">
        <w:rPr>
          <w:lang w:val="es-MX"/>
        </w:rPr>
        <w:t>continúe</w:t>
      </w:r>
      <w:r w:rsidR="00A27393">
        <w:rPr>
          <w:lang w:val="es-MX"/>
        </w:rPr>
        <w:t>,</w:t>
      </w:r>
      <w:r w:rsidR="00600347">
        <w:rPr>
          <w:lang w:val="es-MX"/>
        </w:rPr>
        <w:t xml:space="preserve"> a menos que ya no </w:t>
      </w:r>
      <w:r w:rsidR="00523C99">
        <w:rPr>
          <w:lang w:val="es-MX"/>
        </w:rPr>
        <w:t xml:space="preserve">resulte </w:t>
      </w:r>
      <w:r w:rsidR="00600347">
        <w:rPr>
          <w:lang w:val="es-MX"/>
        </w:rPr>
        <w:t xml:space="preserve">efectivo y ha continuado </w:t>
      </w:r>
      <w:r w:rsidR="00A27393">
        <w:rPr>
          <w:lang w:val="es-MX"/>
        </w:rPr>
        <w:t>aun</w:t>
      </w:r>
      <w:r w:rsidR="00600347">
        <w:rPr>
          <w:lang w:val="es-MX"/>
        </w:rPr>
        <w:t xml:space="preserve"> cuando el gobierno federal </w:t>
      </w:r>
      <w:r w:rsidR="00BC38B8">
        <w:rPr>
          <w:lang w:val="es-MX"/>
        </w:rPr>
        <w:t xml:space="preserve">ha rediseñado su </w:t>
      </w:r>
      <w:r w:rsidR="00600347">
        <w:rPr>
          <w:lang w:val="es-MX"/>
        </w:rPr>
        <w:t xml:space="preserve">enfoque en la aplicación de la </w:t>
      </w:r>
      <w:r w:rsidR="00A27393">
        <w:rPr>
          <w:lang w:val="es-MX"/>
        </w:rPr>
        <w:t>ley para los inmigrantes que h</w:t>
      </w:r>
      <w:r w:rsidR="00600347">
        <w:rPr>
          <w:lang w:val="es-MX"/>
        </w:rPr>
        <w:t xml:space="preserve">an cometido delitos graves. </w:t>
      </w:r>
    </w:p>
    <w:p w14:paraId="0777E907" w14:textId="261C6E40" w:rsidR="00136C59" w:rsidRPr="00C23878" w:rsidRDefault="00554CC8" w:rsidP="00F0717A">
      <w:pPr>
        <w:spacing w:line="480" w:lineRule="auto"/>
        <w:jc w:val="both"/>
        <w:rPr>
          <w:lang w:val="es-MX"/>
        </w:rPr>
      </w:pPr>
      <w:r w:rsidRPr="00116912">
        <w:rPr>
          <w:lang w:val="es-MX"/>
        </w:rPr>
        <w:tab/>
      </w:r>
      <w:r w:rsidR="00F22006">
        <w:rPr>
          <w:lang w:val="es-MX"/>
        </w:rPr>
        <w:t xml:space="preserve">En conjunto, </w:t>
      </w:r>
      <w:r w:rsidR="00600347">
        <w:rPr>
          <w:lang w:val="es-MX"/>
        </w:rPr>
        <w:t>incluso antes de que aumentara la vigilan</w:t>
      </w:r>
      <w:r w:rsidR="00A27393">
        <w:rPr>
          <w:lang w:val="es-MX"/>
        </w:rPr>
        <w:t>cia migratoria los latinos</w:t>
      </w:r>
      <w:r w:rsidR="00600347">
        <w:rPr>
          <w:lang w:val="es-MX"/>
        </w:rPr>
        <w:t xml:space="preserve"> incluyendo a los ciudadanos</w:t>
      </w:r>
      <w:r w:rsidR="00073AEC">
        <w:rPr>
          <w:lang w:val="es-MX"/>
        </w:rPr>
        <w:t xml:space="preserve"> y</w:t>
      </w:r>
      <w:r w:rsidR="00600347">
        <w:rPr>
          <w:lang w:val="es-MX"/>
        </w:rPr>
        <w:t xml:space="preserve"> </w:t>
      </w:r>
      <w:r w:rsidR="00055E02">
        <w:rPr>
          <w:lang w:val="es-MX"/>
        </w:rPr>
        <w:t xml:space="preserve">residentes legales </w:t>
      </w:r>
      <w:r w:rsidR="00600347">
        <w:rPr>
          <w:lang w:val="es-MX"/>
        </w:rPr>
        <w:t xml:space="preserve">permanentes, informaron que sienten que son </w:t>
      </w:r>
      <w:r w:rsidR="00A27393">
        <w:rPr>
          <w:lang w:val="es-MX"/>
        </w:rPr>
        <w:t xml:space="preserve">parados </w:t>
      </w:r>
      <w:r w:rsidR="00600347">
        <w:rPr>
          <w:lang w:val="es-MX"/>
        </w:rPr>
        <w:t>por la policía con más frecuencia, tienen una percepción negativa</w:t>
      </w:r>
      <w:r w:rsidR="00055E02">
        <w:rPr>
          <w:lang w:val="es-MX"/>
        </w:rPr>
        <w:t xml:space="preserve"> de la policía y</w:t>
      </w:r>
      <w:r w:rsidR="00600347">
        <w:rPr>
          <w:lang w:val="es-MX"/>
        </w:rPr>
        <w:t xml:space="preserve"> tienen menos probabilidades de reportar delitos </w:t>
      </w:r>
      <w:r w:rsidR="00055E02" w:rsidRPr="00055E02">
        <w:rPr>
          <w:lang w:val="es-MX"/>
        </w:rPr>
        <w:t xml:space="preserve">(Vidales et al., 2009).  </w:t>
      </w:r>
      <w:r w:rsidR="00136C59" w:rsidRPr="00D43791">
        <w:rPr>
          <w:lang w:val="es-MX"/>
        </w:rPr>
        <w:t xml:space="preserve">De hecho, no existe una gran </w:t>
      </w:r>
      <w:r w:rsidR="00600347" w:rsidRPr="00D43791">
        <w:rPr>
          <w:lang w:val="es-MX"/>
        </w:rPr>
        <w:t xml:space="preserve">diferencia entre los grupos de latinos nacidos en el extranjero y los </w:t>
      </w:r>
      <w:r w:rsidR="00136C59" w:rsidRPr="00D43791">
        <w:rPr>
          <w:lang w:val="es-MX"/>
        </w:rPr>
        <w:t xml:space="preserve">nativos </w:t>
      </w:r>
      <w:r w:rsidR="00D43791" w:rsidRPr="00D43791">
        <w:rPr>
          <w:lang w:val="es-MX"/>
        </w:rPr>
        <w:t>respecto a la vigilancia migratoria a nivel local</w:t>
      </w:r>
      <w:r w:rsidR="00136C59" w:rsidRPr="00D43791">
        <w:rPr>
          <w:lang w:val="es-MX"/>
        </w:rPr>
        <w:t xml:space="preserve">. </w:t>
      </w:r>
      <w:r w:rsidR="009837D6" w:rsidRPr="00D43791">
        <w:rPr>
          <w:rFonts w:eastAsia="Calibri"/>
          <w:lang w:val="es-MX"/>
        </w:rPr>
        <w:t>(Saenz y</w:t>
      </w:r>
      <w:r w:rsidR="00136C59" w:rsidRPr="00D43791">
        <w:rPr>
          <w:rFonts w:eastAsia="Calibri"/>
          <w:lang w:val="es-MX"/>
        </w:rPr>
        <w:t xml:space="preserve"> Morales</w:t>
      </w:r>
      <w:r w:rsidR="00136C59" w:rsidRPr="0082786C">
        <w:rPr>
          <w:rFonts w:eastAsia="Calibri"/>
          <w:lang w:val="es-MX"/>
        </w:rPr>
        <w:t xml:space="preserve">, 2015).  </w:t>
      </w:r>
      <w:r w:rsidR="00A27393">
        <w:rPr>
          <w:rFonts w:eastAsia="Calibri"/>
          <w:lang w:val="es-MX"/>
        </w:rPr>
        <w:t>Basado</w:t>
      </w:r>
      <w:r w:rsidR="005F20B9">
        <w:rPr>
          <w:rFonts w:eastAsia="Calibri"/>
          <w:lang w:val="es-MX"/>
        </w:rPr>
        <w:t xml:space="preserve"> en la Encuesta Nacional del Centro Hispano Pew sobre los latinos</w:t>
      </w:r>
      <w:r w:rsidR="00136C59" w:rsidRPr="00136C59">
        <w:rPr>
          <w:rFonts w:eastAsia="Calibri"/>
          <w:lang w:val="es-MX"/>
        </w:rPr>
        <w:t xml:space="preserve"> </w:t>
      </w:r>
      <w:r w:rsidR="009837D6">
        <w:rPr>
          <w:rFonts w:eastAsia="Calibri"/>
          <w:lang w:val="es-MX"/>
        </w:rPr>
        <w:t xml:space="preserve">(2008), Saenz y </w:t>
      </w:r>
      <w:r w:rsidR="00136C59">
        <w:rPr>
          <w:rFonts w:eastAsia="Calibri"/>
          <w:lang w:val="es-MX"/>
        </w:rPr>
        <w:t>Mora</w:t>
      </w:r>
      <w:r w:rsidR="005F20B9">
        <w:rPr>
          <w:rFonts w:eastAsia="Calibri"/>
          <w:lang w:val="es-MX"/>
        </w:rPr>
        <w:t xml:space="preserve">les (2015) encontraron que los </w:t>
      </w:r>
      <w:r w:rsidR="005F20B9">
        <w:rPr>
          <w:rFonts w:eastAsia="Calibri"/>
          <w:lang w:val="es-MX"/>
        </w:rPr>
        <w:lastRenderedPageBreak/>
        <w:t>l</w:t>
      </w:r>
      <w:r w:rsidR="00A27393">
        <w:rPr>
          <w:rFonts w:eastAsia="Calibri"/>
          <w:lang w:val="es-MX"/>
        </w:rPr>
        <w:t>atinos</w:t>
      </w:r>
      <w:r w:rsidR="00136C59">
        <w:rPr>
          <w:rFonts w:eastAsia="Calibri"/>
          <w:lang w:val="es-MX"/>
        </w:rPr>
        <w:t xml:space="preserve"> generalmente desaprueban </w:t>
      </w:r>
      <w:r w:rsidR="00D43791">
        <w:rPr>
          <w:rFonts w:eastAsia="Calibri"/>
          <w:lang w:val="es-MX"/>
        </w:rPr>
        <w:t xml:space="preserve">la vigilancia migratoria a cargo de las </w:t>
      </w:r>
      <w:r w:rsidR="005F20B9">
        <w:rPr>
          <w:rFonts w:eastAsia="Calibri"/>
          <w:lang w:val="es-MX"/>
        </w:rPr>
        <w:t xml:space="preserve">políticas locales </w:t>
      </w:r>
      <w:r w:rsidR="00D43791">
        <w:rPr>
          <w:rFonts w:eastAsia="Calibri"/>
          <w:lang w:val="es-MX"/>
        </w:rPr>
        <w:t xml:space="preserve">que </w:t>
      </w:r>
      <w:r w:rsidR="00A27393">
        <w:rPr>
          <w:rFonts w:eastAsia="Calibri"/>
          <w:lang w:val="es-MX"/>
        </w:rPr>
        <w:t>normalmente</w:t>
      </w:r>
      <w:r w:rsidR="005F20B9">
        <w:rPr>
          <w:rFonts w:eastAsia="Calibri"/>
          <w:lang w:val="es-MX"/>
        </w:rPr>
        <w:t xml:space="preserve"> es responsabilidad del gobierno federal. </w:t>
      </w:r>
    </w:p>
    <w:p w14:paraId="4B1AFF2C" w14:textId="11606224" w:rsidR="00977CAA" w:rsidRPr="00AE24DF" w:rsidRDefault="00977CAA" w:rsidP="00F0717A">
      <w:pPr>
        <w:spacing w:line="480" w:lineRule="auto"/>
        <w:jc w:val="both"/>
        <w:rPr>
          <w:rFonts w:eastAsia="Calibri"/>
          <w:lang w:val="es-MX"/>
        </w:rPr>
      </w:pPr>
      <w:r w:rsidRPr="00136C59">
        <w:rPr>
          <w:rFonts w:eastAsia="Calibri"/>
          <w:lang w:val="es-MX"/>
        </w:rPr>
        <w:t xml:space="preserve"> </w:t>
      </w:r>
      <w:r w:rsidR="00B751C8">
        <w:rPr>
          <w:rFonts w:eastAsia="Calibri"/>
          <w:lang w:val="es-MX"/>
        </w:rPr>
        <w:t xml:space="preserve">          </w:t>
      </w:r>
      <w:r w:rsidR="00136C59" w:rsidRPr="00136C59">
        <w:rPr>
          <w:rFonts w:eastAsia="Calibri"/>
          <w:lang w:val="es-MX"/>
        </w:rPr>
        <w:t>Especí</w:t>
      </w:r>
      <w:r w:rsidR="00BD0C89">
        <w:rPr>
          <w:rFonts w:eastAsia="Calibri"/>
          <w:lang w:val="es-MX"/>
        </w:rPr>
        <w:t>ficamente, más del 80%</w:t>
      </w:r>
      <w:r w:rsidR="00136C59" w:rsidRPr="00136C59">
        <w:rPr>
          <w:rFonts w:eastAsia="Calibri"/>
          <w:lang w:val="es-MX"/>
        </w:rPr>
        <w:t xml:space="preserve"> de los mexicanos (</w:t>
      </w:r>
      <w:r w:rsidR="005F20B9">
        <w:rPr>
          <w:rFonts w:eastAsia="Calibri"/>
          <w:lang w:val="es-MX"/>
        </w:rPr>
        <w:t>nacidos en el extranjero</w:t>
      </w:r>
      <w:r w:rsidR="001A0DF7">
        <w:rPr>
          <w:rFonts w:eastAsia="Calibri"/>
          <w:lang w:val="es-MX"/>
        </w:rPr>
        <w:t xml:space="preserve"> y nativos</w:t>
      </w:r>
      <w:r w:rsidR="00BD0C89">
        <w:rPr>
          <w:rFonts w:eastAsia="Calibri"/>
          <w:lang w:val="es-MX"/>
        </w:rPr>
        <w:t>)</w:t>
      </w:r>
      <w:r w:rsidR="001A0DF7">
        <w:rPr>
          <w:rFonts w:eastAsia="Calibri"/>
          <w:lang w:val="es-MX"/>
        </w:rPr>
        <w:t xml:space="preserve"> salvadoreños</w:t>
      </w:r>
      <w:r w:rsidR="00C23878">
        <w:rPr>
          <w:rFonts w:eastAsia="Calibri"/>
          <w:lang w:val="es-MX"/>
        </w:rPr>
        <w:t xml:space="preserve"> </w:t>
      </w:r>
      <w:r w:rsidR="00BD0C89" w:rsidRPr="00136C59">
        <w:rPr>
          <w:rFonts w:eastAsia="Calibri"/>
          <w:lang w:val="es-MX"/>
        </w:rPr>
        <w:t>(</w:t>
      </w:r>
      <w:r w:rsidR="00BD0C89">
        <w:rPr>
          <w:rFonts w:eastAsia="Calibri"/>
          <w:lang w:val="es-MX"/>
        </w:rPr>
        <w:t xml:space="preserve">nacidos en el extranjero y nativos), </w:t>
      </w:r>
      <w:r w:rsidR="00C23878">
        <w:rPr>
          <w:rFonts w:eastAsia="Calibri"/>
          <w:lang w:val="es-MX"/>
        </w:rPr>
        <w:t>otros isleños del pacifico</w:t>
      </w:r>
      <w:r w:rsidR="001A0DF7">
        <w:rPr>
          <w:rFonts w:eastAsia="Calibri"/>
          <w:lang w:val="es-MX"/>
        </w:rPr>
        <w:t xml:space="preserve"> (nacidos en el extranjero y nativos)</w:t>
      </w:r>
      <w:r w:rsidR="00F772AB">
        <w:rPr>
          <w:rFonts w:eastAsia="Calibri"/>
          <w:lang w:val="es-MX"/>
        </w:rPr>
        <w:t xml:space="preserve"> </w:t>
      </w:r>
      <w:r w:rsidR="00BD0C89">
        <w:rPr>
          <w:rFonts w:eastAsia="Calibri"/>
          <w:lang w:val="es-MX"/>
        </w:rPr>
        <w:t xml:space="preserve">y los sudamericanos </w:t>
      </w:r>
      <w:r w:rsidR="00BD0C89" w:rsidRPr="00136C59">
        <w:rPr>
          <w:rFonts w:eastAsia="Calibri"/>
          <w:lang w:val="es-MX"/>
        </w:rPr>
        <w:t>(</w:t>
      </w:r>
      <w:r w:rsidR="00BD0C89">
        <w:rPr>
          <w:rFonts w:eastAsia="Calibri"/>
          <w:lang w:val="es-MX"/>
        </w:rPr>
        <w:t xml:space="preserve">nacidos en el extranjero), </w:t>
      </w:r>
      <w:r w:rsidR="00E069CA">
        <w:rPr>
          <w:rFonts w:eastAsia="Calibri"/>
          <w:lang w:val="es-MX"/>
        </w:rPr>
        <w:t xml:space="preserve">creen que la aplicación </w:t>
      </w:r>
      <w:r w:rsidR="00BD0C89">
        <w:rPr>
          <w:rFonts w:eastAsia="Calibri"/>
          <w:lang w:val="es-MX"/>
        </w:rPr>
        <w:t xml:space="preserve">de las leyes migratorias </w:t>
      </w:r>
      <w:r w:rsidR="00E069CA">
        <w:rPr>
          <w:rFonts w:eastAsia="Calibri"/>
          <w:lang w:val="es-MX"/>
        </w:rPr>
        <w:t xml:space="preserve">debería ser responsabilidad del gobierno y no de la </w:t>
      </w:r>
      <w:r w:rsidR="00BD0C89">
        <w:rPr>
          <w:rFonts w:eastAsia="Calibri"/>
          <w:lang w:val="es-MX"/>
        </w:rPr>
        <w:t>policía</w:t>
      </w:r>
      <w:r w:rsidR="00E069CA">
        <w:rPr>
          <w:rFonts w:eastAsia="Calibri"/>
          <w:lang w:val="es-MX"/>
        </w:rPr>
        <w:t xml:space="preserve"> local. Cuando se trata de una parada oficial en sí,  </w:t>
      </w:r>
      <w:r w:rsidR="003E48D5">
        <w:rPr>
          <w:rFonts w:eastAsia="Calibri"/>
          <w:lang w:val="es-MX"/>
        </w:rPr>
        <w:t>Sáenz</w:t>
      </w:r>
      <w:r w:rsidR="00136C59">
        <w:rPr>
          <w:rFonts w:eastAsia="Calibri"/>
          <w:lang w:val="es-MX"/>
        </w:rPr>
        <w:t xml:space="preserve"> y Morales (2015) encontraron que cerca del 10</w:t>
      </w:r>
      <w:r w:rsidR="00BD0C89">
        <w:rPr>
          <w:rFonts w:eastAsia="Calibri"/>
          <w:lang w:val="es-MX"/>
        </w:rPr>
        <w:t>%</w:t>
      </w:r>
      <w:r w:rsidR="00E069CA">
        <w:rPr>
          <w:rFonts w:eastAsia="Calibri"/>
          <w:lang w:val="es-MX"/>
        </w:rPr>
        <w:t xml:space="preserve"> de los individuos de origen m</w:t>
      </w:r>
      <w:r w:rsidR="00136C59">
        <w:rPr>
          <w:rFonts w:eastAsia="Calibri"/>
          <w:lang w:val="es-MX"/>
        </w:rPr>
        <w:t>exicano,</w:t>
      </w:r>
      <w:r w:rsidR="00BD0C89">
        <w:rPr>
          <w:rFonts w:eastAsia="Calibri"/>
          <w:lang w:val="es-MX"/>
        </w:rPr>
        <w:t xml:space="preserve"> tanto nacidos en el extranjero como</w:t>
      </w:r>
      <w:r w:rsidR="00E069CA">
        <w:rPr>
          <w:rFonts w:eastAsia="Calibri"/>
          <w:lang w:val="es-MX"/>
        </w:rPr>
        <w:t xml:space="preserve"> nativos </w:t>
      </w:r>
      <w:r w:rsidR="00136C59">
        <w:rPr>
          <w:rFonts w:eastAsia="Calibri"/>
          <w:lang w:val="es-MX"/>
        </w:rPr>
        <w:t xml:space="preserve">han sido detenidos por la policía y </w:t>
      </w:r>
      <w:r w:rsidR="00E069CA">
        <w:rPr>
          <w:rFonts w:eastAsia="Calibri"/>
          <w:lang w:val="es-MX"/>
        </w:rPr>
        <w:t>se les ha</w:t>
      </w:r>
      <w:r w:rsidR="00136C59">
        <w:rPr>
          <w:rFonts w:eastAsia="Calibri"/>
          <w:lang w:val="es-MX"/>
        </w:rPr>
        <w:t xml:space="preserve"> cuestionado su</w:t>
      </w:r>
      <w:r w:rsidR="00E069CA">
        <w:rPr>
          <w:rFonts w:eastAsia="Calibri"/>
          <w:lang w:val="es-MX"/>
        </w:rPr>
        <w:t xml:space="preserve"> estatus migratori</w:t>
      </w:r>
      <w:r w:rsidR="00BD0C89">
        <w:rPr>
          <w:rFonts w:eastAsia="Calibri"/>
          <w:lang w:val="es-MX"/>
        </w:rPr>
        <w:t>o</w:t>
      </w:r>
      <w:r w:rsidR="00E069CA">
        <w:rPr>
          <w:rFonts w:eastAsia="Calibri"/>
          <w:lang w:val="es-MX"/>
        </w:rPr>
        <w:t>.</w:t>
      </w:r>
      <w:r w:rsidR="00136C59">
        <w:rPr>
          <w:rFonts w:eastAsia="Calibri"/>
          <w:lang w:val="es-MX"/>
        </w:rPr>
        <w:t xml:space="preserve"> Esto </w:t>
      </w:r>
      <w:r w:rsidR="00E069CA">
        <w:rPr>
          <w:rFonts w:eastAsia="Calibri"/>
          <w:lang w:val="es-MX"/>
        </w:rPr>
        <w:t xml:space="preserve">está ligado con los </w:t>
      </w:r>
      <w:r w:rsidR="00136C59">
        <w:rPr>
          <w:rFonts w:eastAsia="Calibri"/>
          <w:lang w:val="es-MX"/>
        </w:rPr>
        <w:t>834 ciudadanos estadounidenses</w:t>
      </w:r>
      <w:r w:rsidR="00E069CA">
        <w:rPr>
          <w:rFonts w:eastAsia="Calibri"/>
          <w:lang w:val="es-MX"/>
        </w:rPr>
        <w:t xml:space="preserve"> que fueron detenidos por error bajo Comunidades Seguras</w:t>
      </w:r>
      <w:r w:rsidR="00136C59">
        <w:rPr>
          <w:rFonts w:eastAsia="Calibri"/>
          <w:lang w:val="es-MX"/>
        </w:rPr>
        <w:t xml:space="preserve"> </w:t>
      </w:r>
      <w:r w:rsidR="00136C59" w:rsidRPr="00136C59">
        <w:rPr>
          <w:rFonts w:eastAsia="Calibri"/>
          <w:lang w:val="es-MX"/>
        </w:rPr>
        <w:t>(Provine et al., 2016).</w:t>
      </w:r>
    </w:p>
    <w:p w14:paraId="0E32BBE8" w14:textId="662E40F9" w:rsidR="00623E57" w:rsidRPr="00623E57" w:rsidRDefault="003E48D5" w:rsidP="00F0717A">
      <w:pPr>
        <w:spacing w:line="480" w:lineRule="auto"/>
        <w:jc w:val="both"/>
        <w:rPr>
          <w:u w:val="single"/>
          <w:lang w:val="es-MX"/>
        </w:rPr>
      </w:pPr>
      <w:r>
        <w:rPr>
          <w:u w:val="single"/>
          <w:lang w:val="es-MX"/>
        </w:rPr>
        <w:t>Discrecionalidad</w:t>
      </w:r>
      <w:r w:rsidR="00623E57" w:rsidRPr="00623E57">
        <w:rPr>
          <w:u w:val="single"/>
          <w:lang w:val="es-MX"/>
        </w:rPr>
        <w:t xml:space="preserve"> </w:t>
      </w:r>
      <w:r w:rsidR="00446CB8">
        <w:rPr>
          <w:u w:val="single"/>
          <w:lang w:val="es-MX"/>
        </w:rPr>
        <w:t xml:space="preserve">en la vigilancia e </w:t>
      </w:r>
      <w:r w:rsidR="00F37DCD">
        <w:rPr>
          <w:u w:val="single"/>
          <w:lang w:val="es-MX"/>
        </w:rPr>
        <w:t>inmigrantes</w:t>
      </w:r>
    </w:p>
    <w:p w14:paraId="6B3CCEEB" w14:textId="108676B4" w:rsidR="00623E57" w:rsidRPr="00623E57" w:rsidRDefault="00F37DCD" w:rsidP="00F0717A">
      <w:pPr>
        <w:spacing w:line="480" w:lineRule="auto"/>
        <w:ind w:firstLine="720"/>
        <w:jc w:val="both"/>
        <w:rPr>
          <w:lang w:val="es-MX"/>
        </w:rPr>
      </w:pPr>
      <w:r>
        <w:rPr>
          <w:lang w:val="es-MX"/>
        </w:rPr>
        <w:t>La pregunta de quién es detenido y cuestionado por las a</w:t>
      </w:r>
      <w:r w:rsidR="0099245D">
        <w:rPr>
          <w:lang w:val="es-MX"/>
        </w:rPr>
        <w:t>gencias policiacas por sospecha</w:t>
      </w:r>
      <w:r>
        <w:rPr>
          <w:lang w:val="es-MX"/>
        </w:rPr>
        <w:t xml:space="preserve"> de ser indocumentado es difícil de contestar</w:t>
      </w:r>
      <w:r w:rsidR="003E48D5">
        <w:rPr>
          <w:lang w:val="es-MX"/>
        </w:rPr>
        <w:t>,</w:t>
      </w:r>
      <w:r>
        <w:rPr>
          <w:lang w:val="es-MX"/>
        </w:rPr>
        <w:t xml:space="preserve"> </w:t>
      </w:r>
      <w:r w:rsidR="00623E57">
        <w:rPr>
          <w:lang w:val="es-MX"/>
        </w:rPr>
        <w:t xml:space="preserve">debido en parte </w:t>
      </w:r>
      <w:r w:rsidR="00FD48B2">
        <w:rPr>
          <w:lang w:val="es-MX"/>
        </w:rPr>
        <w:t xml:space="preserve">a </w:t>
      </w:r>
      <w:r w:rsidR="00623E57">
        <w:rPr>
          <w:lang w:val="es-MX"/>
        </w:rPr>
        <w:t>la amplia discreción que</w:t>
      </w:r>
      <w:r>
        <w:rPr>
          <w:lang w:val="es-MX"/>
        </w:rPr>
        <w:t xml:space="preserve"> implica</w:t>
      </w:r>
      <w:r w:rsidR="00446CB8">
        <w:rPr>
          <w:lang w:val="es-MX"/>
        </w:rPr>
        <w:t xml:space="preserve"> el trabajo policiaco</w:t>
      </w:r>
      <w:r w:rsidR="00623E57">
        <w:rPr>
          <w:lang w:val="es-MX"/>
        </w:rPr>
        <w:t xml:space="preserve">. </w:t>
      </w:r>
      <w:r w:rsidR="00FC3C30" w:rsidRPr="00FC3C30">
        <w:rPr>
          <w:lang w:val="es-MX"/>
        </w:rPr>
        <w:t>Pro</w:t>
      </w:r>
      <w:r>
        <w:rPr>
          <w:lang w:val="es-MX"/>
        </w:rPr>
        <w:t>vine et al. (2016:105) argumentó que “l</w:t>
      </w:r>
      <w:r w:rsidR="00FC3C30" w:rsidRPr="00FC3C30">
        <w:rPr>
          <w:lang w:val="es-MX"/>
        </w:rPr>
        <w:t>a aplicación</w:t>
      </w:r>
      <w:r>
        <w:rPr>
          <w:lang w:val="es-MX"/>
        </w:rPr>
        <w:t xml:space="preserve"> local</w:t>
      </w:r>
      <w:r w:rsidR="00FC3C30" w:rsidRPr="00FC3C30">
        <w:rPr>
          <w:lang w:val="es-MX"/>
        </w:rPr>
        <w:t xml:space="preserve"> de la ley</w:t>
      </w:r>
      <w:r>
        <w:rPr>
          <w:lang w:val="es-MX"/>
        </w:rPr>
        <w:t xml:space="preserve"> es un trabajo arduamente individualista en </w:t>
      </w:r>
      <w:r w:rsidR="003E48D5">
        <w:rPr>
          <w:lang w:val="es-MX"/>
        </w:rPr>
        <w:t xml:space="preserve">el </w:t>
      </w:r>
      <w:r>
        <w:rPr>
          <w:lang w:val="es-MX"/>
        </w:rPr>
        <w:t xml:space="preserve">que los oficiales en servicio generalmente </w:t>
      </w:r>
      <w:r w:rsidR="003E48D5">
        <w:rPr>
          <w:lang w:val="es-MX"/>
        </w:rPr>
        <w:t xml:space="preserve">van </w:t>
      </w:r>
      <w:r>
        <w:rPr>
          <w:lang w:val="es-MX"/>
        </w:rPr>
        <w:t xml:space="preserve">más allá de la perspectiva de sus </w:t>
      </w:r>
      <w:r w:rsidR="00FC3C30">
        <w:rPr>
          <w:lang w:val="es-MX"/>
        </w:rPr>
        <w:t xml:space="preserve">supervisores y </w:t>
      </w:r>
      <w:r w:rsidR="00446CB8">
        <w:rPr>
          <w:lang w:val="es-MX"/>
        </w:rPr>
        <w:t>gozan</w:t>
      </w:r>
      <w:r w:rsidR="00FC3C30">
        <w:rPr>
          <w:lang w:val="es-MX"/>
        </w:rPr>
        <w:t xml:space="preserve"> </w:t>
      </w:r>
      <w:r w:rsidR="00446CB8">
        <w:rPr>
          <w:lang w:val="es-MX"/>
        </w:rPr>
        <w:t>de</w:t>
      </w:r>
      <w:r w:rsidR="003E48D5">
        <w:rPr>
          <w:lang w:val="es-MX"/>
        </w:rPr>
        <w:t xml:space="preserve"> amplio criterio </w:t>
      </w:r>
      <w:r>
        <w:rPr>
          <w:lang w:val="es-MX"/>
        </w:rPr>
        <w:t xml:space="preserve">respecto a </w:t>
      </w:r>
      <w:r w:rsidR="00FD48B2">
        <w:rPr>
          <w:lang w:val="es-MX"/>
        </w:rPr>
        <w:t>cómo</w:t>
      </w:r>
      <w:r>
        <w:rPr>
          <w:lang w:val="es-MX"/>
        </w:rPr>
        <w:t xml:space="preserve"> investigar</w:t>
      </w:r>
      <w:r w:rsidR="00FC3C30">
        <w:rPr>
          <w:lang w:val="es-MX"/>
        </w:rPr>
        <w:t xml:space="preserve"> y a qui</w:t>
      </w:r>
      <w:r w:rsidR="004C3CCD">
        <w:rPr>
          <w:lang w:val="es-MX"/>
        </w:rPr>
        <w:t>é</w:t>
      </w:r>
      <w:r w:rsidR="00FC3C30">
        <w:rPr>
          <w:lang w:val="es-MX"/>
        </w:rPr>
        <w:t>n cuestion</w:t>
      </w:r>
      <w:r>
        <w:rPr>
          <w:lang w:val="es-MX"/>
        </w:rPr>
        <w:t>ar, detener o arrestar. “ Aún más</w:t>
      </w:r>
      <w:r w:rsidR="00FC3C30">
        <w:rPr>
          <w:lang w:val="es-MX"/>
        </w:rPr>
        <w:t xml:space="preserve">, los oficiales casi siempre </w:t>
      </w:r>
      <w:r w:rsidR="00FD48B2">
        <w:rPr>
          <w:lang w:val="es-MX"/>
        </w:rPr>
        <w:t xml:space="preserve">pueden </w:t>
      </w:r>
      <w:r w:rsidR="00FC3C30">
        <w:rPr>
          <w:lang w:val="es-MX"/>
        </w:rPr>
        <w:t>encontrar una</w:t>
      </w:r>
      <w:r>
        <w:rPr>
          <w:lang w:val="es-MX"/>
        </w:rPr>
        <w:t xml:space="preserve"> causa posible </w:t>
      </w:r>
      <w:r w:rsidR="00FC3C30">
        <w:rPr>
          <w:lang w:val="es-MX"/>
        </w:rPr>
        <w:t xml:space="preserve">para </w:t>
      </w:r>
      <w:r>
        <w:rPr>
          <w:lang w:val="es-MX"/>
        </w:rPr>
        <w:t>parar a un conductor</w:t>
      </w:r>
      <w:r w:rsidR="00312A87">
        <w:rPr>
          <w:lang w:val="es-MX"/>
        </w:rPr>
        <w:t xml:space="preserve"> </w:t>
      </w:r>
      <w:r w:rsidR="00FD48B2">
        <w:rPr>
          <w:lang w:val="es-MX"/>
        </w:rPr>
        <w:t>(</w:t>
      </w:r>
      <w:r>
        <w:rPr>
          <w:lang w:val="es-MX"/>
        </w:rPr>
        <w:t>P</w:t>
      </w:r>
      <w:r w:rsidR="00FC3C30">
        <w:rPr>
          <w:lang w:val="es-MX"/>
        </w:rPr>
        <w:t>or ejemplo</w:t>
      </w:r>
      <w:r>
        <w:rPr>
          <w:lang w:val="es-MX"/>
        </w:rPr>
        <w:t>,</w:t>
      </w:r>
      <w:r w:rsidR="00FC3C30">
        <w:rPr>
          <w:lang w:val="es-MX"/>
        </w:rPr>
        <w:t xml:space="preserve"> </w:t>
      </w:r>
      <w:r>
        <w:rPr>
          <w:lang w:val="es-MX"/>
        </w:rPr>
        <w:t>por no llevar</w:t>
      </w:r>
      <w:r w:rsidR="00FC3C30">
        <w:rPr>
          <w:lang w:val="es-MX"/>
        </w:rPr>
        <w:t xml:space="preserve"> puesto el</w:t>
      </w:r>
      <w:r w:rsidR="00312A87">
        <w:rPr>
          <w:lang w:val="es-MX"/>
        </w:rPr>
        <w:t xml:space="preserve"> </w:t>
      </w:r>
      <w:r w:rsidR="00FC3C30">
        <w:rPr>
          <w:lang w:val="es-MX"/>
        </w:rPr>
        <w:t xml:space="preserve"> cinturón de seguridad) o detenerlo por </w:t>
      </w:r>
      <w:r w:rsidR="00312A87">
        <w:rPr>
          <w:lang w:val="es-MX"/>
        </w:rPr>
        <w:t xml:space="preserve">infracciones técnicas </w:t>
      </w:r>
      <w:r w:rsidR="00FC3C30">
        <w:rPr>
          <w:lang w:val="es-MX"/>
        </w:rPr>
        <w:t>como una luz</w:t>
      </w:r>
      <w:r w:rsidR="00312A87">
        <w:rPr>
          <w:lang w:val="es-MX"/>
        </w:rPr>
        <w:t xml:space="preserve"> trasera quebrada o unas placas</w:t>
      </w:r>
      <w:r w:rsidR="00FC3C30">
        <w:rPr>
          <w:lang w:val="es-MX"/>
        </w:rPr>
        <w:t xml:space="preserve"> sucias (</w:t>
      </w:r>
      <w:r w:rsidR="00312A87">
        <w:rPr>
          <w:lang w:val="es-MX"/>
        </w:rPr>
        <w:t>Proviene et al 2016). Bajo tales</w:t>
      </w:r>
      <w:r w:rsidR="00FC3C30">
        <w:rPr>
          <w:lang w:val="es-MX"/>
        </w:rPr>
        <w:t xml:space="preserve"> circunstancias</w:t>
      </w:r>
      <w:r w:rsidR="003E48D5">
        <w:rPr>
          <w:lang w:val="es-MX"/>
        </w:rPr>
        <w:t>,</w:t>
      </w:r>
      <w:r w:rsidR="00FC3C30">
        <w:rPr>
          <w:lang w:val="es-MX"/>
        </w:rPr>
        <w:t xml:space="preserve"> la verdadera razón </w:t>
      </w:r>
      <w:r w:rsidR="00312A87">
        <w:rPr>
          <w:lang w:val="es-MX"/>
        </w:rPr>
        <w:t xml:space="preserve">para detener a alguien es diferente de la </w:t>
      </w:r>
      <w:r w:rsidR="00446CB8">
        <w:rPr>
          <w:lang w:val="es-MX"/>
        </w:rPr>
        <w:t>infracción</w:t>
      </w:r>
      <w:r w:rsidR="00312A87">
        <w:rPr>
          <w:lang w:val="es-MX"/>
        </w:rPr>
        <w:t xml:space="preserve"> por la que se le mult</w:t>
      </w:r>
      <w:r w:rsidR="00FD48B2">
        <w:rPr>
          <w:lang w:val="es-MX"/>
        </w:rPr>
        <w:t>ó</w:t>
      </w:r>
      <w:r w:rsidR="00312A87">
        <w:rPr>
          <w:lang w:val="es-MX"/>
        </w:rPr>
        <w:t xml:space="preserve">. </w:t>
      </w:r>
    </w:p>
    <w:p w14:paraId="448394A2" w14:textId="562E76CD" w:rsidR="003C1161" w:rsidRPr="00FD21B4" w:rsidRDefault="002E2A50" w:rsidP="00F0717A">
      <w:pPr>
        <w:spacing w:line="480" w:lineRule="auto"/>
        <w:jc w:val="both"/>
        <w:rPr>
          <w:lang w:val="es-MX"/>
        </w:rPr>
      </w:pPr>
      <w:r w:rsidRPr="00623E57">
        <w:rPr>
          <w:rFonts w:eastAsia="Calibri"/>
          <w:lang w:val="es-MX"/>
        </w:rPr>
        <w:lastRenderedPageBreak/>
        <w:tab/>
      </w:r>
      <w:r w:rsidR="00C4478F" w:rsidRPr="003C1161">
        <w:rPr>
          <w:rFonts w:eastAsia="Calibri"/>
          <w:lang w:val="es-MX"/>
        </w:rPr>
        <w:t xml:space="preserve"> </w:t>
      </w:r>
      <w:r w:rsidR="00FC3C30" w:rsidRPr="003C1161">
        <w:rPr>
          <w:rFonts w:eastAsia="Calibri"/>
          <w:lang w:val="es-MX"/>
        </w:rPr>
        <w:t xml:space="preserve">Hasta la fecha, la </w:t>
      </w:r>
      <w:r w:rsidR="003C1161" w:rsidRPr="003C1161">
        <w:rPr>
          <w:rFonts w:eastAsia="Calibri"/>
          <w:lang w:val="es-MX"/>
        </w:rPr>
        <w:t xml:space="preserve">literatura académica en la aplicación de la ley en el </w:t>
      </w:r>
      <w:r w:rsidR="00312A87">
        <w:rPr>
          <w:rFonts w:eastAsia="Calibri"/>
          <w:lang w:val="es-MX"/>
        </w:rPr>
        <w:t xml:space="preserve">contexto </w:t>
      </w:r>
      <w:r w:rsidR="00FD48B2">
        <w:rPr>
          <w:rFonts w:eastAsia="Calibri"/>
          <w:lang w:val="es-MX"/>
        </w:rPr>
        <w:t xml:space="preserve">migratorio </w:t>
      </w:r>
      <w:r w:rsidR="00312A87">
        <w:rPr>
          <w:rFonts w:eastAsia="Calibri"/>
          <w:lang w:val="es-MX"/>
        </w:rPr>
        <w:t xml:space="preserve">se basa en las entrevistas etnográficas </w:t>
      </w:r>
      <w:r w:rsidR="00446CB8">
        <w:rPr>
          <w:rFonts w:eastAsia="Calibri"/>
          <w:lang w:val="es-MX"/>
        </w:rPr>
        <w:t xml:space="preserve">y a fondo </w:t>
      </w:r>
      <w:r w:rsidR="00312A87">
        <w:rPr>
          <w:rFonts w:eastAsia="Calibri"/>
          <w:lang w:val="es-MX"/>
        </w:rPr>
        <w:t xml:space="preserve">que demuestran el alto nivel </w:t>
      </w:r>
      <w:r w:rsidR="003E48D5">
        <w:rPr>
          <w:rFonts w:eastAsia="Calibri"/>
          <w:lang w:val="es-MX"/>
        </w:rPr>
        <w:t xml:space="preserve">discrecional </w:t>
      </w:r>
      <w:r w:rsidR="00312A87">
        <w:rPr>
          <w:rFonts w:eastAsia="Calibri"/>
          <w:lang w:val="es-MX"/>
        </w:rPr>
        <w:t>que practican los oficiales cuando deciden a quien cuestionar.</w:t>
      </w:r>
      <w:r w:rsidR="003C1161">
        <w:rPr>
          <w:rFonts w:eastAsia="Calibri"/>
          <w:lang w:val="es-MX"/>
        </w:rPr>
        <w:t xml:space="preserve"> Los inmigrantes son parte de la comunidad y </w:t>
      </w:r>
      <w:r w:rsidR="00312A87">
        <w:rPr>
          <w:rFonts w:eastAsia="Calibri"/>
          <w:lang w:val="es-MX"/>
        </w:rPr>
        <w:t xml:space="preserve">por lo tanto </w:t>
      </w:r>
      <w:r w:rsidR="003C1161">
        <w:rPr>
          <w:rFonts w:eastAsia="Calibri"/>
          <w:lang w:val="es-MX"/>
        </w:rPr>
        <w:t xml:space="preserve">es muy probable que </w:t>
      </w:r>
      <w:r w:rsidR="00446CB8">
        <w:rPr>
          <w:rFonts w:eastAsia="Calibri"/>
          <w:lang w:val="es-MX"/>
        </w:rPr>
        <w:t xml:space="preserve">entren </w:t>
      </w:r>
      <w:r w:rsidR="003C1161">
        <w:rPr>
          <w:rFonts w:eastAsia="Calibri"/>
          <w:lang w:val="es-MX"/>
        </w:rPr>
        <w:t xml:space="preserve">en contacto con los oficiales </w:t>
      </w:r>
      <w:r w:rsidR="00312A87">
        <w:rPr>
          <w:rFonts w:eastAsia="Calibri"/>
          <w:lang w:val="es-MX"/>
        </w:rPr>
        <w:t>policiacos</w:t>
      </w:r>
      <w:r w:rsidR="003C1161">
        <w:rPr>
          <w:rFonts w:eastAsia="Calibri"/>
          <w:lang w:val="es-MX"/>
        </w:rPr>
        <w:t xml:space="preserve"> locales o estatales. </w:t>
      </w:r>
      <w:r w:rsidR="003C1161" w:rsidRPr="003C1161">
        <w:rPr>
          <w:rFonts w:eastAsia="Calibri"/>
          <w:lang w:val="es-MX"/>
        </w:rPr>
        <w:t>(Armenta, 2011).  Decker et al. (2009) describió una amplia</w:t>
      </w:r>
      <w:r w:rsidR="00312A87">
        <w:rPr>
          <w:rFonts w:eastAsia="Calibri"/>
          <w:lang w:val="es-MX"/>
        </w:rPr>
        <w:t xml:space="preserve"> </w:t>
      </w:r>
      <w:r w:rsidR="009F2A4B">
        <w:rPr>
          <w:rFonts w:eastAsia="Calibri"/>
          <w:lang w:val="es-MX"/>
        </w:rPr>
        <w:t>variación</w:t>
      </w:r>
      <w:r w:rsidR="00312A87">
        <w:rPr>
          <w:rFonts w:eastAsia="Calibri"/>
          <w:lang w:val="es-MX"/>
        </w:rPr>
        <w:t xml:space="preserve"> en las circunstancias bajo las cuales los departamentos de </w:t>
      </w:r>
      <w:r w:rsidR="009F2A4B">
        <w:rPr>
          <w:rFonts w:eastAsia="Calibri"/>
          <w:lang w:val="es-MX"/>
        </w:rPr>
        <w:t>policía</w:t>
      </w:r>
      <w:r w:rsidR="00312A87">
        <w:rPr>
          <w:rFonts w:eastAsia="Calibri"/>
          <w:lang w:val="es-MX"/>
        </w:rPr>
        <w:t xml:space="preserve"> preguntan el estatus </w:t>
      </w:r>
      <w:r w:rsidR="009F2A4B">
        <w:rPr>
          <w:rFonts w:eastAsia="Calibri"/>
          <w:lang w:val="es-MX"/>
        </w:rPr>
        <w:t>de ciudadanía.</w:t>
      </w:r>
      <w:r w:rsidR="003C1161" w:rsidRPr="003C1161">
        <w:rPr>
          <w:rFonts w:eastAsia="Calibri"/>
          <w:lang w:val="es-MX"/>
        </w:rPr>
        <w:t xml:space="preserve"> </w:t>
      </w:r>
      <w:r w:rsidR="003C1161" w:rsidRPr="003C1161">
        <w:rPr>
          <w:lang w:val="es-MX"/>
        </w:rPr>
        <w:t xml:space="preserve">Independientemente de si el departamento tiene </w:t>
      </w:r>
      <w:r w:rsidR="001E517F">
        <w:rPr>
          <w:lang w:val="es-MX"/>
        </w:rPr>
        <w:t>políticas</w:t>
      </w:r>
      <w:r w:rsidR="009F2A4B">
        <w:rPr>
          <w:lang w:val="es-MX"/>
        </w:rPr>
        <w:t xml:space="preserve"> en cuanto a la aplicación de las leyes </w:t>
      </w:r>
      <w:r w:rsidR="00872036">
        <w:rPr>
          <w:lang w:val="es-MX"/>
        </w:rPr>
        <w:t xml:space="preserve">migratorias </w:t>
      </w:r>
      <w:r w:rsidR="009F2A4B">
        <w:rPr>
          <w:lang w:val="es-MX"/>
        </w:rPr>
        <w:t xml:space="preserve">o no, el poder de la </w:t>
      </w:r>
      <w:r w:rsidR="001E517F">
        <w:rPr>
          <w:lang w:val="es-MX"/>
        </w:rPr>
        <w:t>política</w:t>
      </w:r>
      <w:r w:rsidR="009F2A4B">
        <w:rPr>
          <w:lang w:val="es-MX"/>
        </w:rPr>
        <w:t xml:space="preserve"> departamental en las </w:t>
      </w:r>
      <w:r w:rsidR="001E517F">
        <w:rPr>
          <w:lang w:val="es-MX"/>
        </w:rPr>
        <w:t>decisiones</w:t>
      </w:r>
      <w:r w:rsidR="009F2A4B">
        <w:rPr>
          <w:lang w:val="es-MX"/>
        </w:rPr>
        <w:t xml:space="preserve"> de primera línea no </w:t>
      </w:r>
      <w:r w:rsidR="001E517F">
        <w:rPr>
          <w:lang w:val="es-MX"/>
        </w:rPr>
        <w:t>está</w:t>
      </w:r>
      <w:r w:rsidR="00872036">
        <w:rPr>
          <w:lang w:val="es-MX"/>
        </w:rPr>
        <w:t xml:space="preserve"> claro</w:t>
      </w:r>
      <w:r w:rsidR="003E48D5">
        <w:rPr>
          <w:lang w:val="es-MX"/>
        </w:rPr>
        <w:t>,</w:t>
      </w:r>
      <w:r w:rsidR="00872036">
        <w:rPr>
          <w:lang w:val="es-MX"/>
        </w:rPr>
        <w:t xml:space="preserve"> considerando</w:t>
      </w:r>
      <w:r w:rsidR="009F2A4B">
        <w:rPr>
          <w:lang w:val="es-MX"/>
        </w:rPr>
        <w:t xml:space="preserve"> la </w:t>
      </w:r>
      <w:r w:rsidR="00872036">
        <w:rPr>
          <w:lang w:val="es-MX"/>
        </w:rPr>
        <w:t xml:space="preserve">amplia discrecionalidad </w:t>
      </w:r>
      <w:r w:rsidR="001E517F">
        <w:rPr>
          <w:lang w:val="es-MX"/>
        </w:rPr>
        <w:t xml:space="preserve">que las agencias policiacas utilizan en las calles </w:t>
      </w:r>
      <w:r w:rsidR="00CA71BF" w:rsidRPr="00CA71BF">
        <w:rPr>
          <w:lang w:val="es-MX"/>
        </w:rPr>
        <w:t>(Pro</w:t>
      </w:r>
      <w:r w:rsidR="00872036">
        <w:rPr>
          <w:lang w:val="es-MX"/>
        </w:rPr>
        <w:t xml:space="preserve">vine et al., 2016). Debido a la discrecionalidad del trabajo policiaco, las </w:t>
      </w:r>
      <w:r w:rsidR="003E48D5">
        <w:rPr>
          <w:lang w:val="es-MX"/>
        </w:rPr>
        <w:t>decisiones</w:t>
      </w:r>
      <w:r w:rsidR="001E517F">
        <w:rPr>
          <w:lang w:val="es-MX"/>
        </w:rPr>
        <w:t xml:space="preserve"> para la aplicación de la ley se hacen en base al cálculo moral del oficial de detener a</w:t>
      </w:r>
      <w:r w:rsidR="00446CB8">
        <w:rPr>
          <w:lang w:val="es-MX"/>
        </w:rPr>
        <w:t xml:space="preserve"> los “hombres malos” en vez de hacerlo bajo un</w:t>
      </w:r>
      <w:r w:rsidR="001E517F">
        <w:rPr>
          <w:lang w:val="es-MX"/>
        </w:rPr>
        <w:t xml:space="preserve"> marco legal. </w:t>
      </w:r>
      <w:r w:rsidR="00CA71BF" w:rsidRPr="00CA71BF">
        <w:rPr>
          <w:lang w:val="es-MX"/>
        </w:rPr>
        <w:t xml:space="preserve">(Herbert 1998).  De hecho, </w:t>
      </w:r>
      <w:r w:rsidR="001E517F">
        <w:rPr>
          <w:lang w:val="es-MX"/>
        </w:rPr>
        <w:t xml:space="preserve">en ocasiones lo que el oficial de policía </w:t>
      </w:r>
      <w:r w:rsidR="003E48D5">
        <w:rPr>
          <w:lang w:val="es-MX"/>
        </w:rPr>
        <w:t>determina como</w:t>
      </w:r>
      <w:r w:rsidR="001E517F">
        <w:rPr>
          <w:lang w:val="es-MX"/>
        </w:rPr>
        <w:t xml:space="preserve"> “lo correcto” puede estar en conflicto con la ley </w:t>
      </w:r>
      <w:r w:rsidR="00CA71BF" w:rsidRPr="00CA71BF">
        <w:rPr>
          <w:lang w:val="es-MX"/>
        </w:rPr>
        <w:t>(Herbert 1998).</w:t>
      </w:r>
    </w:p>
    <w:p w14:paraId="085B5756" w14:textId="532B2AB6" w:rsidR="00622EF3" w:rsidRPr="00475D73" w:rsidRDefault="0088730F" w:rsidP="00F0717A">
      <w:pPr>
        <w:spacing w:line="480" w:lineRule="auto"/>
        <w:jc w:val="both"/>
        <w:rPr>
          <w:lang w:val="es-MX"/>
        </w:rPr>
      </w:pPr>
      <w:r w:rsidRPr="003C1161">
        <w:rPr>
          <w:lang w:val="es-MX"/>
        </w:rPr>
        <w:tab/>
      </w:r>
      <w:r w:rsidR="00AE4C7F" w:rsidRPr="00FD21B4">
        <w:rPr>
          <w:rFonts w:eastAsia="Calibri"/>
          <w:lang w:val="es-MX"/>
        </w:rPr>
        <w:t xml:space="preserve"> </w:t>
      </w:r>
      <w:r w:rsidR="00F62654">
        <w:rPr>
          <w:rFonts w:eastAsia="Calibri"/>
          <w:lang w:val="es-MX"/>
        </w:rPr>
        <w:t>La vigilancia migratoria t</w:t>
      </w:r>
      <w:r w:rsidR="00872036">
        <w:rPr>
          <w:rFonts w:eastAsia="Calibri"/>
          <w:lang w:val="es-MX"/>
        </w:rPr>
        <w:t xml:space="preserve">ambién se da en forma alterna en los departamentos </w:t>
      </w:r>
      <w:r w:rsidR="00446CB8">
        <w:rPr>
          <w:rFonts w:eastAsia="Calibri"/>
          <w:lang w:val="es-MX"/>
        </w:rPr>
        <w:t xml:space="preserve">que no cuentan con políticas </w:t>
      </w:r>
      <w:r w:rsidR="003E48D5">
        <w:rPr>
          <w:rFonts w:eastAsia="Calibri"/>
          <w:lang w:val="es-MX"/>
        </w:rPr>
        <w:t>encaminadas a la aplicación</w:t>
      </w:r>
      <w:r w:rsidR="00872036">
        <w:rPr>
          <w:rFonts w:eastAsia="Calibri"/>
          <w:lang w:val="es-MX"/>
        </w:rPr>
        <w:t xml:space="preserve"> de las leyes federales migratorias o</w:t>
      </w:r>
      <w:r w:rsidR="003E48D5">
        <w:rPr>
          <w:rFonts w:eastAsia="Calibri"/>
          <w:lang w:val="es-MX"/>
        </w:rPr>
        <w:t xml:space="preserve"> se da</w:t>
      </w:r>
      <w:r w:rsidR="00F62654">
        <w:rPr>
          <w:rFonts w:eastAsia="Calibri"/>
          <w:lang w:val="es-MX"/>
        </w:rPr>
        <w:t xml:space="preserve"> “de manera ilegítima”. Basado </w:t>
      </w:r>
      <w:r w:rsidR="00872036">
        <w:rPr>
          <w:rFonts w:eastAsia="Calibri"/>
          <w:lang w:val="es-MX"/>
        </w:rPr>
        <w:t xml:space="preserve">en </w:t>
      </w:r>
      <w:r w:rsidR="004934DB">
        <w:rPr>
          <w:rFonts w:eastAsia="Calibri"/>
          <w:lang w:val="es-MX"/>
        </w:rPr>
        <w:t>un estudio sobre el Phoenix</w:t>
      </w:r>
      <w:r w:rsidR="00F62654">
        <w:rPr>
          <w:rFonts w:eastAsia="Calibri"/>
          <w:lang w:val="es-MX"/>
        </w:rPr>
        <w:t xml:space="preserve"> </w:t>
      </w:r>
      <w:r w:rsidR="00872036">
        <w:rPr>
          <w:rFonts w:eastAsia="Calibri"/>
          <w:lang w:val="es-MX"/>
        </w:rPr>
        <w:t>Metroplex</w:t>
      </w:r>
      <w:r w:rsidR="00F62654">
        <w:rPr>
          <w:rFonts w:eastAsia="Calibri"/>
          <w:lang w:val="es-MX"/>
        </w:rPr>
        <w:t xml:space="preserve"> Versanyi (2008) se encontró que las </w:t>
      </w:r>
      <w:r w:rsidR="0055546E">
        <w:rPr>
          <w:rFonts w:eastAsia="Calibri"/>
          <w:lang w:val="es-MX"/>
        </w:rPr>
        <w:t>políticas</w:t>
      </w:r>
      <w:r w:rsidR="00F62654">
        <w:rPr>
          <w:rFonts w:eastAsia="Calibri"/>
          <w:lang w:val="es-MX"/>
        </w:rPr>
        <w:t xml:space="preserve"> </w:t>
      </w:r>
      <w:r w:rsidR="0055546E">
        <w:rPr>
          <w:rFonts w:eastAsia="Calibri"/>
          <w:lang w:val="es-MX"/>
        </w:rPr>
        <w:t>migratorias</w:t>
      </w:r>
      <w:r w:rsidR="00F62654">
        <w:rPr>
          <w:rFonts w:eastAsia="Calibri"/>
          <w:lang w:val="es-MX"/>
        </w:rPr>
        <w:t xml:space="preserve"> se dan “tras bambalinas”</w:t>
      </w:r>
      <w:r w:rsidR="0055546E">
        <w:rPr>
          <w:rFonts w:eastAsia="Calibri"/>
          <w:lang w:val="es-MX"/>
        </w:rPr>
        <w:t xml:space="preserve"> mediante decretos sobre el uso de espacios públicos que excluyen de manera directa o indirecta </w:t>
      </w:r>
      <w:r w:rsidR="00CE3B97">
        <w:rPr>
          <w:rFonts w:eastAsia="Calibri"/>
          <w:lang w:val="es-MX"/>
        </w:rPr>
        <w:t xml:space="preserve">a </w:t>
      </w:r>
      <w:r w:rsidR="0055546E">
        <w:rPr>
          <w:rFonts w:eastAsia="Calibri"/>
          <w:lang w:val="es-MX"/>
        </w:rPr>
        <w:t xml:space="preserve">las personas indocumentadas. </w:t>
      </w:r>
      <w:r w:rsidR="00F62654">
        <w:rPr>
          <w:rFonts w:eastAsia="Calibri"/>
          <w:lang w:val="es-MX"/>
        </w:rPr>
        <w:t xml:space="preserve">  </w:t>
      </w:r>
      <w:r w:rsidR="004934DB">
        <w:rPr>
          <w:rFonts w:eastAsia="Calibri"/>
          <w:lang w:val="es-MX"/>
        </w:rPr>
        <w:t xml:space="preserve">Quizás </w:t>
      </w:r>
      <w:r w:rsidR="00CE3B97">
        <w:rPr>
          <w:rFonts w:eastAsia="Calibri"/>
          <w:lang w:val="es-MX"/>
        </w:rPr>
        <w:t xml:space="preserve">la </w:t>
      </w:r>
      <w:r w:rsidR="0055546E">
        <w:rPr>
          <w:rFonts w:eastAsia="Calibri"/>
          <w:lang w:val="es-MX"/>
        </w:rPr>
        <w:t>vigilancia “</w:t>
      </w:r>
      <w:r w:rsidR="00CE3B97">
        <w:rPr>
          <w:rFonts w:eastAsia="Calibri"/>
          <w:lang w:val="es-MX"/>
        </w:rPr>
        <w:t>ilegitima</w:t>
      </w:r>
      <w:r w:rsidR="0055546E">
        <w:rPr>
          <w:rFonts w:eastAsia="Calibri"/>
          <w:lang w:val="es-MX"/>
        </w:rPr>
        <w:t xml:space="preserve">”  más común de los inmigrantes </w:t>
      </w:r>
      <w:r w:rsidR="00CE3B97">
        <w:rPr>
          <w:rFonts w:eastAsia="Calibri"/>
          <w:lang w:val="es-MX"/>
        </w:rPr>
        <w:t xml:space="preserve">se da </w:t>
      </w:r>
      <w:r w:rsidR="0055546E">
        <w:rPr>
          <w:rFonts w:eastAsia="Calibri"/>
          <w:lang w:val="es-MX"/>
        </w:rPr>
        <w:t xml:space="preserve">a través de las infracciones de tránsito. </w:t>
      </w:r>
      <w:r w:rsidR="00475D73">
        <w:rPr>
          <w:rFonts w:eastAsia="Calibri"/>
          <w:lang w:val="es-MX"/>
        </w:rPr>
        <w:t>D</w:t>
      </w:r>
      <w:r w:rsidR="00CE3B97">
        <w:rPr>
          <w:rFonts w:eastAsia="Calibri"/>
          <w:lang w:val="es-MX"/>
        </w:rPr>
        <w:t>e hecho, los cargos más serios para</w:t>
      </w:r>
      <w:r w:rsidR="00475D73">
        <w:rPr>
          <w:rFonts w:eastAsia="Calibri"/>
          <w:lang w:val="es-MX"/>
        </w:rPr>
        <w:t xml:space="preserve"> </w:t>
      </w:r>
      <w:r w:rsidR="004934DB">
        <w:rPr>
          <w:rFonts w:eastAsia="Calibri"/>
          <w:lang w:val="es-MX"/>
        </w:rPr>
        <w:t xml:space="preserve">más de </w:t>
      </w:r>
      <w:r w:rsidR="00475D73">
        <w:rPr>
          <w:rFonts w:eastAsia="Calibri"/>
          <w:lang w:val="es-MX"/>
        </w:rPr>
        <w:t>la mitad de los inmigrantes deportados en el 2013</w:t>
      </w:r>
      <w:r w:rsidR="003E48D5">
        <w:rPr>
          <w:rFonts w:eastAsia="Calibri"/>
          <w:lang w:val="es-MX"/>
        </w:rPr>
        <w:t>,</w:t>
      </w:r>
      <w:r w:rsidR="00475D73">
        <w:rPr>
          <w:rFonts w:eastAsia="Calibri"/>
          <w:lang w:val="es-MX"/>
        </w:rPr>
        <w:t xml:space="preserve"> </w:t>
      </w:r>
      <w:r w:rsidR="0055546E">
        <w:rPr>
          <w:rFonts w:eastAsia="Calibri"/>
          <w:lang w:val="es-MX"/>
        </w:rPr>
        <w:t xml:space="preserve">fueron </w:t>
      </w:r>
      <w:r w:rsidR="003E48D5">
        <w:rPr>
          <w:rFonts w:eastAsia="Calibri"/>
          <w:lang w:val="es-MX"/>
        </w:rPr>
        <w:t xml:space="preserve">las </w:t>
      </w:r>
      <w:r w:rsidR="0055546E">
        <w:rPr>
          <w:rFonts w:eastAsia="Calibri"/>
          <w:lang w:val="es-MX"/>
        </w:rPr>
        <w:t xml:space="preserve">multas de tránsito </w:t>
      </w:r>
      <w:r w:rsidR="00CE3B97">
        <w:rPr>
          <w:rFonts w:eastAsia="Calibri"/>
          <w:lang w:val="es-MX"/>
        </w:rPr>
        <w:t>(Provine et al., 2016). Un</w:t>
      </w:r>
      <w:r w:rsidR="00475D73">
        <w:rPr>
          <w:rFonts w:eastAsia="Calibri"/>
          <w:lang w:val="es-MX"/>
        </w:rPr>
        <w:t xml:space="preserve"> estudio de</w:t>
      </w:r>
      <w:r w:rsidR="00CE3B97">
        <w:rPr>
          <w:rFonts w:eastAsia="Calibri"/>
          <w:lang w:val="es-MX"/>
        </w:rPr>
        <w:t>l</w:t>
      </w:r>
      <w:r w:rsidR="00475D73">
        <w:rPr>
          <w:rFonts w:eastAsia="Calibri"/>
          <w:lang w:val="es-MX"/>
        </w:rPr>
        <w:t xml:space="preserve"> 287 (g) en </w:t>
      </w:r>
      <w:r w:rsidR="0055546E">
        <w:rPr>
          <w:rFonts w:eastAsia="Calibri"/>
          <w:lang w:val="es-MX"/>
        </w:rPr>
        <w:t xml:space="preserve">Nashville, Armenta (2016) </w:t>
      </w:r>
      <w:r w:rsidR="00CE3B97">
        <w:rPr>
          <w:rFonts w:eastAsia="Calibri"/>
          <w:lang w:val="es-MX"/>
        </w:rPr>
        <w:t>arrojó</w:t>
      </w:r>
      <w:r w:rsidR="0055546E">
        <w:rPr>
          <w:rFonts w:eastAsia="Calibri"/>
          <w:lang w:val="es-MX"/>
        </w:rPr>
        <w:t xml:space="preserve"> que la cultura departamental</w:t>
      </w:r>
      <w:r w:rsidR="00475D73" w:rsidRPr="00475D73">
        <w:rPr>
          <w:rFonts w:eastAsia="Calibri"/>
          <w:lang w:val="es-MX"/>
        </w:rPr>
        <w:t xml:space="preserve"> </w:t>
      </w:r>
      <w:r w:rsidR="0055546E">
        <w:rPr>
          <w:rFonts w:eastAsia="Calibri"/>
          <w:lang w:val="es-MX"/>
        </w:rPr>
        <w:t xml:space="preserve">le da prioridad a las detenciones </w:t>
      </w:r>
      <w:r w:rsidR="0055546E">
        <w:rPr>
          <w:rFonts w:eastAsia="Calibri"/>
          <w:lang w:val="es-MX"/>
        </w:rPr>
        <w:lastRenderedPageBreak/>
        <w:t xml:space="preserve">de </w:t>
      </w:r>
      <w:r w:rsidR="003D3148">
        <w:rPr>
          <w:rFonts w:eastAsia="Calibri"/>
          <w:lang w:val="es-MX"/>
        </w:rPr>
        <w:t>tráfico</w:t>
      </w:r>
      <w:r w:rsidR="003E48D5">
        <w:rPr>
          <w:rFonts w:eastAsia="Calibri"/>
          <w:lang w:val="es-MX"/>
        </w:rPr>
        <w:t>,</w:t>
      </w:r>
      <w:r w:rsidR="0055546E">
        <w:rPr>
          <w:rFonts w:eastAsia="Calibri"/>
          <w:lang w:val="es-MX"/>
        </w:rPr>
        <w:t xml:space="preserve"> que colocan de manera inevitable</w:t>
      </w:r>
      <w:r w:rsidR="003E48D5">
        <w:rPr>
          <w:rFonts w:eastAsia="Calibri"/>
          <w:lang w:val="es-MX"/>
        </w:rPr>
        <w:t>,</w:t>
      </w:r>
      <w:r w:rsidR="0055546E">
        <w:rPr>
          <w:rFonts w:eastAsia="Calibri"/>
          <w:lang w:val="es-MX"/>
        </w:rPr>
        <w:t xml:space="preserve"> a la </w:t>
      </w:r>
      <w:r w:rsidR="003D3148">
        <w:rPr>
          <w:rFonts w:eastAsia="Calibri"/>
          <w:lang w:val="es-MX"/>
        </w:rPr>
        <w:t>policía</w:t>
      </w:r>
      <w:r w:rsidR="0055546E">
        <w:rPr>
          <w:rFonts w:eastAsia="Calibri"/>
          <w:lang w:val="es-MX"/>
        </w:rPr>
        <w:t xml:space="preserve"> local en contacto con inmigrantes no autor</w:t>
      </w:r>
      <w:r w:rsidR="00064C4A">
        <w:rPr>
          <w:rFonts w:eastAsia="Calibri"/>
          <w:lang w:val="es-MX"/>
        </w:rPr>
        <w:t>izados quienes</w:t>
      </w:r>
      <w:r w:rsidR="0055546E">
        <w:rPr>
          <w:rFonts w:eastAsia="Calibri"/>
          <w:lang w:val="es-MX"/>
        </w:rPr>
        <w:t xml:space="preserve"> por no ser elegibles para tener una licencia de conducir o una </w:t>
      </w:r>
      <w:r w:rsidR="003D3148">
        <w:rPr>
          <w:rFonts w:eastAsia="Calibri"/>
          <w:lang w:val="es-MX"/>
        </w:rPr>
        <w:t>identificación</w:t>
      </w:r>
      <w:r w:rsidR="00064C4A">
        <w:rPr>
          <w:rFonts w:eastAsia="Calibri"/>
          <w:lang w:val="es-MX"/>
        </w:rPr>
        <w:t xml:space="preserve">, son vulnerables al arresto. </w:t>
      </w:r>
      <w:r w:rsidR="00CE3B97">
        <w:rPr>
          <w:lang w:val="es-MX"/>
        </w:rPr>
        <w:t>Esto</w:t>
      </w:r>
      <w:r w:rsidR="003D3148">
        <w:rPr>
          <w:lang w:val="es-MX"/>
        </w:rPr>
        <w:t xml:space="preserve"> preocupa a los inmigrantes indocumentados quienes con algunas excepciones, no tienen acceso a una identificación </w:t>
      </w:r>
      <w:r w:rsidR="003E48D5">
        <w:rPr>
          <w:lang w:val="es-MX"/>
        </w:rPr>
        <w:t xml:space="preserve">estatal </w:t>
      </w:r>
      <w:r w:rsidR="00CE3B97">
        <w:rPr>
          <w:lang w:val="es-MX"/>
        </w:rPr>
        <w:t>o a una licencia de conducir y</w:t>
      </w:r>
      <w:r w:rsidR="003D3148">
        <w:rPr>
          <w:lang w:val="es-MX"/>
        </w:rPr>
        <w:t xml:space="preserve"> por lo tanto están cometiendo una infracción </w:t>
      </w:r>
      <w:r w:rsidR="003E48D5">
        <w:rPr>
          <w:lang w:val="es-MX"/>
        </w:rPr>
        <w:t xml:space="preserve">con </w:t>
      </w:r>
      <w:r w:rsidR="003D3148">
        <w:rPr>
          <w:lang w:val="es-MX"/>
        </w:rPr>
        <w:t>el simple hecho de manejar.</w:t>
      </w:r>
      <w:r w:rsidR="000E2203">
        <w:rPr>
          <w:lang w:val="es-MX"/>
        </w:rPr>
        <w:t xml:space="preserve"> </w:t>
      </w:r>
    </w:p>
    <w:p w14:paraId="63702319" w14:textId="6C8D9786" w:rsidR="005656C5" w:rsidRDefault="007C0025" w:rsidP="00F0717A">
      <w:pPr>
        <w:spacing w:line="480" w:lineRule="auto"/>
        <w:jc w:val="both"/>
        <w:rPr>
          <w:lang w:val="es-MX"/>
        </w:rPr>
      </w:pPr>
      <w:r w:rsidRPr="00475D73">
        <w:rPr>
          <w:rFonts w:eastAsia="Calibri"/>
          <w:lang w:val="es-MX"/>
        </w:rPr>
        <w:tab/>
      </w:r>
      <w:r w:rsidR="003366C4" w:rsidRPr="00475D73">
        <w:rPr>
          <w:lang w:val="es-MX"/>
        </w:rPr>
        <w:t xml:space="preserve"> </w:t>
      </w:r>
      <w:r w:rsidR="000E2203" w:rsidRPr="000E2203">
        <w:rPr>
          <w:lang w:val="es-MX"/>
        </w:rPr>
        <w:t xml:space="preserve">Otro </w:t>
      </w:r>
      <w:r w:rsidR="003E48D5">
        <w:rPr>
          <w:lang w:val="es-MX"/>
        </w:rPr>
        <w:t xml:space="preserve">reto </w:t>
      </w:r>
      <w:r w:rsidR="000E2203" w:rsidRPr="000E2203">
        <w:rPr>
          <w:lang w:val="es-MX"/>
        </w:rPr>
        <w:t>para las</w:t>
      </w:r>
      <w:r w:rsidR="005A41DC">
        <w:rPr>
          <w:lang w:val="es-MX"/>
        </w:rPr>
        <w:t xml:space="preserve"> políticas </w:t>
      </w:r>
      <w:r w:rsidR="005656C5">
        <w:rPr>
          <w:lang w:val="es-MX"/>
        </w:rPr>
        <w:t xml:space="preserve">migratorias </w:t>
      </w:r>
      <w:r w:rsidR="000E2203" w:rsidRPr="000E2203">
        <w:rPr>
          <w:lang w:val="es-MX"/>
        </w:rPr>
        <w:t xml:space="preserve">es la falta de </w:t>
      </w:r>
      <w:r w:rsidR="000E2203">
        <w:rPr>
          <w:lang w:val="es-MX"/>
        </w:rPr>
        <w:t xml:space="preserve">aculturación </w:t>
      </w:r>
      <w:r w:rsidR="003E48D5">
        <w:rPr>
          <w:lang w:val="es-MX"/>
        </w:rPr>
        <w:t>hacia</w:t>
      </w:r>
      <w:r w:rsidR="005A41DC">
        <w:rPr>
          <w:lang w:val="es-MX"/>
        </w:rPr>
        <w:t xml:space="preserve"> los estándares de las agencias norteamericanas</w:t>
      </w:r>
      <w:r w:rsidR="00064C4A">
        <w:rPr>
          <w:lang w:val="es-MX"/>
        </w:rPr>
        <w:t xml:space="preserve"> de vigilancia</w:t>
      </w:r>
      <w:r w:rsidR="005A41DC">
        <w:rPr>
          <w:lang w:val="es-MX"/>
        </w:rPr>
        <w:t xml:space="preserve">. </w:t>
      </w:r>
      <w:r w:rsidR="000E2203">
        <w:rPr>
          <w:lang w:val="es-MX"/>
        </w:rPr>
        <w:t xml:space="preserve">Por ejemplo, la </w:t>
      </w:r>
      <w:r w:rsidR="00E33991">
        <w:rPr>
          <w:lang w:val="es-MX"/>
        </w:rPr>
        <w:t>policía</w:t>
      </w:r>
      <w:r w:rsidR="005A41DC">
        <w:rPr>
          <w:lang w:val="es-MX"/>
        </w:rPr>
        <w:t xml:space="preserve"> sospecha</w:t>
      </w:r>
      <w:r w:rsidR="000E2203">
        <w:rPr>
          <w:lang w:val="es-MX"/>
        </w:rPr>
        <w:t xml:space="preserve"> de</w:t>
      </w:r>
      <w:r w:rsidR="005A41DC">
        <w:rPr>
          <w:lang w:val="es-MX"/>
        </w:rPr>
        <w:t xml:space="preserve"> las personas que no siguen las pr</w:t>
      </w:r>
      <w:r w:rsidR="005656C5">
        <w:rPr>
          <w:lang w:val="es-MX"/>
        </w:rPr>
        <w:t>á</w:t>
      </w:r>
      <w:r w:rsidR="005A41DC">
        <w:rPr>
          <w:lang w:val="es-MX"/>
        </w:rPr>
        <w:t>cticas norteamericanas de orillarse al lado derecho del camino cuando el tráfico</w:t>
      </w:r>
      <w:r w:rsidR="000E2203">
        <w:rPr>
          <w:lang w:val="es-MX"/>
        </w:rPr>
        <w:t xml:space="preserve"> </w:t>
      </w:r>
      <w:r w:rsidR="003E48D5">
        <w:rPr>
          <w:lang w:val="es-MX"/>
        </w:rPr>
        <w:t xml:space="preserve">se detiene </w:t>
      </w:r>
      <w:r w:rsidR="000E2203" w:rsidRPr="000E2203">
        <w:rPr>
          <w:lang w:val="es-MX"/>
        </w:rPr>
        <w:t xml:space="preserve">(Khashu, Busch, and Latif, 2005; Lewis and Ramakrishnan, 2007).  </w:t>
      </w:r>
      <w:r w:rsidR="005A41DC">
        <w:rPr>
          <w:lang w:val="es-MX"/>
        </w:rPr>
        <w:t xml:space="preserve">Esto </w:t>
      </w:r>
      <w:r w:rsidR="00064C4A">
        <w:rPr>
          <w:lang w:val="es-MX"/>
        </w:rPr>
        <w:t>inquieta</w:t>
      </w:r>
      <w:r w:rsidR="005A41DC">
        <w:rPr>
          <w:lang w:val="es-MX"/>
        </w:rPr>
        <w:t xml:space="preserve"> a los inmigrantes que no están familiarizados con las prácticas norteamericanas.</w:t>
      </w:r>
      <w:r w:rsidR="000E2203">
        <w:rPr>
          <w:lang w:val="es-MX"/>
        </w:rPr>
        <w:t xml:space="preserve"> En cambio, los inmigrantes </w:t>
      </w:r>
      <w:r w:rsidR="00E33991">
        <w:rPr>
          <w:lang w:val="es-MX"/>
        </w:rPr>
        <w:t>también</w:t>
      </w:r>
      <w:r w:rsidR="005A41DC">
        <w:rPr>
          <w:lang w:val="es-MX"/>
        </w:rPr>
        <w:t xml:space="preserve"> son reacios al confiar</w:t>
      </w:r>
      <w:r w:rsidR="000E2203">
        <w:rPr>
          <w:lang w:val="es-MX"/>
        </w:rPr>
        <w:t xml:space="preserve"> en los oficiales </w:t>
      </w:r>
      <w:r w:rsidR="00E33991">
        <w:rPr>
          <w:lang w:val="es-MX"/>
        </w:rPr>
        <w:t>policiacos</w:t>
      </w:r>
      <w:r w:rsidR="000E2203">
        <w:rPr>
          <w:lang w:val="es-MX"/>
        </w:rPr>
        <w:t xml:space="preserve"> debido a las experiencias negativas que han tenido con la aplicación de la ley en sus países de origen  </w:t>
      </w:r>
      <w:r w:rsidR="000E2203" w:rsidRPr="000E2203">
        <w:rPr>
          <w:lang w:val="es-MX"/>
        </w:rPr>
        <w:t xml:space="preserve"> (Davis et al., 2001; Menjivar and Bejarano, 2004),</w:t>
      </w:r>
      <w:r w:rsidR="000E2203">
        <w:rPr>
          <w:lang w:val="es-MX"/>
        </w:rPr>
        <w:t xml:space="preserve"> </w:t>
      </w:r>
      <w:r w:rsidR="00E33991">
        <w:rPr>
          <w:lang w:val="es-MX"/>
        </w:rPr>
        <w:t>aunque</w:t>
      </w:r>
      <w:r w:rsidR="005A41DC">
        <w:rPr>
          <w:lang w:val="es-MX"/>
        </w:rPr>
        <w:t xml:space="preserve"> en el caso de los inmigrantes c</w:t>
      </w:r>
      <w:r w:rsidR="000E2203">
        <w:rPr>
          <w:lang w:val="es-MX"/>
        </w:rPr>
        <w:t xml:space="preserve">hinos la </w:t>
      </w:r>
      <w:r w:rsidR="00E33991">
        <w:rPr>
          <w:lang w:val="es-MX"/>
        </w:rPr>
        <w:t>comparación</w:t>
      </w:r>
      <w:r w:rsidR="000E2203">
        <w:rPr>
          <w:lang w:val="es-MX"/>
        </w:rPr>
        <w:t xml:space="preserve"> con las normas</w:t>
      </w:r>
      <w:r w:rsidR="005A41DC">
        <w:rPr>
          <w:lang w:val="es-MX"/>
        </w:rPr>
        <w:t xml:space="preserve"> policiacas</w:t>
      </w:r>
      <w:r w:rsidR="000E2203">
        <w:rPr>
          <w:lang w:val="es-MX"/>
        </w:rPr>
        <w:t xml:space="preserve"> en su país de </w:t>
      </w:r>
      <w:r w:rsidR="00E33991">
        <w:rPr>
          <w:lang w:val="es-MX"/>
        </w:rPr>
        <w:t>origen</w:t>
      </w:r>
      <w:r w:rsidR="000E2203">
        <w:rPr>
          <w:lang w:val="es-MX"/>
        </w:rPr>
        <w:t xml:space="preserve"> se asocia</w:t>
      </w:r>
      <w:r w:rsidR="005A41DC">
        <w:rPr>
          <w:lang w:val="es-MX"/>
        </w:rPr>
        <w:t xml:space="preserve"> con perspectiva</w:t>
      </w:r>
      <w:r w:rsidR="001370CE">
        <w:rPr>
          <w:lang w:val="es-MX"/>
        </w:rPr>
        <w:t>s favorables de aplicación de la ley en los E.U</w:t>
      </w:r>
      <w:r w:rsidR="007D3A2B">
        <w:rPr>
          <w:lang w:val="es-MX"/>
        </w:rPr>
        <w:t>.</w:t>
      </w:r>
      <w:r w:rsidR="001370CE">
        <w:rPr>
          <w:lang w:val="es-MX"/>
        </w:rPr>
        <w:t xml:space="preserve"> </w:t>
      </w:r>
      <w:r w:rsidR="000E2203">
        <w:rPr>
          <w:lang w:val="es-MX"/>
        </w:rPr>
        <w:t xml:space="preserve"> </w:t>
      </w:r>
      <w:r w:rsidR="000E2203" w:rsidRPr="000E2203">
        <w:rPr>
          <w:lang w:val="es-MX"/>
        </w:rPr>
        <w:t xml:space="preserve">(Wu et al., 2011).  </w:t>
      </w:r>
      <w:r w:rsidR="005656C5">
        <w:rPr>
          <w:lang w:val="es-MX"/>
        </w:rPr>
        <w:t>Aún</w:t>
      </w:r>
      <w:r w:rsidR="001370CE">
        <w:rPr>
          <w:lang w:val="es-MX"/>
        </w:rPr>
        <w:t xml:space="preserve"> más, las personas que han inmigrado en fechas recientes están menos </w:t>
      </w:r>
      <w:r w:rsidR="007D3A2B">
        <w:rPr>
          <w:lang w:val="es-MX"/>
        </w:rPr>
        <w:t xml:space="preserve">conscientes </w:t>
      </w:r>
      <w:r w:rsidR="001370CE">
        <w:rPr>
          <w:lang w:val="es-MX"/>
        </w:rPr>
        <w:t xml:space="preserve">de las prácticas de vigilancia comunitaria que tienen una implicación en las relaciones policía-comunidad. </w:t>
      </w:r>
      <w:r w:rsidR="00E33991" w:rsidRPr="00E33991">
        <w:rPr>
          <w:lang w:val="es-MX"/>
        </w:rPr>
        <w:t xml:space="preserve">(Davis and Miller, 2002). </w:t>
      </w:r>
    </w:p>
    <w:p w14:paraId="3CE6ADE5" w14:textId="43180C97" w:rsidR="00C809AC" w:rsidRPr="003E48D5" w:rsidRDefault="00E33991" w:rsidP="00F0717A">
      <w:pPr>
        <w:spacing w:line="480" w:lineRule="auto"/>
        <w:jc w:val="both"/>
        <w:rPr>
          <w:b/>
          <w:lang w:val="es-MX"/>
        </w:rPr>
      </w:pPr>
      <w:r w:rsidRPr="003E48D5">
        <w:rPr>
          <w:b/>
          <w:lang w:val="es-MX"/>
        </w:rPr>
        <w:t>POBR</w:t>
      </w:r>
      <w:r w:rsidR="001370CE" w:rsidRPr="003E48D5">
        <w:rPr>
          <w:b/>
          <w:lang w:val="es-MX"/>
        </w:rPr>
        <w:t>E</w:t>
      </w:r>
      <w:r w:rsidR="007D3A2B">
        <w:rPr>
          <w:b/>
          <w:lang w:val="es-MX"/>
        </w:rPr>
        <w:t>ZA Y ENCLAVES Y PERFIL DE CIUDADANIA</w:t>
      </w:r>
      <w:r w:rsidR="005656C5" w:rsidRPr="003E48D5">
        <w:rPr>
          <w:b/>
          <w:lang w:val="es-MX"/>
        </w:rPr>
        <w:t xml:space="preserve"> EN EL VECINDARIO</w:t>
      </w:r>
    </w:p>
    <w:p w14:paraId="74DE9638" w14:textId="6AF69494" w:rsidR="00FD21B4" w:rsidRPr="00FD21B4" w:rsidRDefault="00E33991" w:rsidP="00F0717A">
      <w:pPr>
        <w:spacing w:line="480" w:lineRule="auto"/>
        <w:jc w:val="both"/>
        <w:rPr>
          <w:rFonts w:eastAsia="Calibri"/>
          <w:lang w:val="es-MX"/>
        </w:rPr>
      </w:pPr>
      <w:r w:rsidRPr="00FD21B4">
        <w:rPr>
          <w:rFonts w:eastAsia="Calibri"/>
          <w:lang w:val="es-MX"/>
        </w:rPr>
        <w:tab/>
      </w:r>
      <w:r w:rsidR="005656C5">
        <w:rPr>
          <w:rFonts w:eastAsia="Calibri"/>
          <w:lang w:val="es-MX"/>
        </w:rPr>
        <w:t xml:space="preserve"> A pesar de la raza/</w:t>
      </w:r>
      <w:r w:rsidR="00A641DC" w:rsidRPr="00E33991">
        <w:rPr>
          <w:rFonts w:eastAsia="Calibri"/>
          <w:lang w:val="es-MX"/>
        </w:rPr>
        <w:t>etnicidad</w:t>
      </w:r>
      <w:r w:rsidR="001370CE">
        <w:rPr>
          <w:rFonts w:eastAsia="Calibri"/>
          <w:lang w:val="es-MX"/>
        </w:rPr>
        <w:t xml:space="preserve"> y </w:t>
      </w:r>
      <w:r w:rsidR="00FF12DA">
        <w:rPr>
          <w:rFonts w:eastAsia="Calibri"/>
          <w:lang w:val="es-MX"/>
        </w:rPr>
        <w:t xml:space="preserve">el </w:t>
      </w:r>
      <w:r w:rsidR="001370CE">
        <w:rPr>
          <w:rFonts w:eastAsia="Calibri"/>
          <w:lang w:val="es-MX"/>
        </w:rPr>
        <w:t xml:space="preserve">estatus </w:t>
      </w:r>
      <w:r w:rsidRPr="00E33991">
        <w:rPr>
          <w:rFonts w:eastAsia="Calibri"/>
          <w:lang w:val="es-MX"/>
        </w:rPr>
        <w:t>migratorio de</w:t>
      </w:r>
      <w:r w:rsidR="001370CE">
        <w:rPr>
          <w:rFonts w:eastAsia="Calibri"/>
          <w:lang w:val="es-MX"/>
        </w:rPr>
        <w:t xml:space="preserve"> una persona, el contexto del vecindario donde residen los individuos puede ofrecer importante información contextual </w:t>
      </w:r>
      <w:r w:rsidR="003E48D5">
        <w:rPr>
          <w:rFonts w:eastAsia="Calibri"/>
          <w:lang w:val="es-MX"/>
        </w:rPr>
        <w:t xml:space="preserve">sobre </w:t>
      </w:r>
      <w:r w:rsidR="001370CE">
        <w:rPr>
          <w:rFonts w:eastAsia="Calibri"/>
          <w:lang w:val="es-MX"/>
        </w:rPr>
        <w:t xml:space="preserve">a </w:t>
      </w:r>
      <w:r w:rsidR="003E48D5">
        <w:rPr>
          <w:rFonts w:eastAsia="Calibri"/>
          <w:lang w:val="es-MX"/>
        </w:rPr>
        <w:t>quién</w:t>
      </w:r>
      <w:r w:rsidR="001370CE">
        <w:rPr>
          <w:rFonts w:eastAsia="Calibri"/>
          <w:lang w:val="es-MX"/>
        </w:rPr>
        <w:t xml:space="preserve"> cuestiona</w:t>
      </w:r>
      <w:r w:rsidR="00424362">
        <w:rPr>
          <w:rFonts w:eastAsia="Calibri"/>
          <w:lang w:val="es-MX"/>
        </w:rPr>
        <w:t>n</w:t>
      </w:r>
      <w:r w:rsidR="001370CE">
        <w:rPr>
          <w:rFonts w:eastAsia="Calibri"/>
          <w:lang w:val="es-MX"/>
        </w:rPr>
        <w:t xml:space="preserve"> </w:t>
      </w:r>
      <w:r w:rsidR="00424362">
        <w:rPr>
          <w:rFonts w:eastAsia="Calibri"/>
          <w:lang w:val="es-MX"/>
        </w:rPr>
        <w:t xml:space="preserve">los agentes policiacos </w:t>
      </w:r>
      <w:r w:rsidR="001370CE">
        <w:rPr>
          <w:rFonts w:eastAsia="Calibri"/>
          <w:lang w:val="es-MX"/>
        </w:rPr>
        <w:t>su estatus</w:t>
      </w:r>
      <w:r w:rsidR="00424362">
        <w:rPr>
          <w:rFonts w:eastAsia="Calibri"/>
          <w:lang w:val="es-MX"/>
        </w:rPr>
        <w:t xml:space="preserve"> de ciudadanía</w:t>
      </w:r>
      <w:r w:rsidR="001370CE">
        <w:rPr>
          <w:rFonts w:eastAsia="Calibri"/>
          <w:lang w:val="es-MX"/>
        </w:rPr>
        <w:t xml:space="preserve">. Hasta la fecha, la mayoría de la literatura sobre </w:t>
      </w:r>
      <w:r w:rsidR="007D3A2B">
        <w:rPr>
          <w:rFonts w:eastAsia="Calibri"/>
          <w:lang w:val="es-MX"/>
        </w:rPr>
        <w:t xml:space="preserve">vigilancia y </w:t>
      </w:r>
      <w:r w:rsidR="001370CE">
        <w:rPr>
          <w:rFonts w:eastAsia="Calibri"/>
          <w:lang w:val="es-MX"/>
        </w:rPr>
        <w:t>latin</w:t>
      </w:r>
      <w:r w:rsidR="003E48D5">
        <w:rPr>
          <w:rFonts w:eastAsia="Calibri"/>
          <w:lang w:val="es-MX"/>
        </w:rPr>
        <w:t>os</w:t>
      </w:r>
      <w:r w:rsidR="001370CE">
        <w:rPr>
          <w:rFonts w:eastAsia="Calibri"/>
          <w:lang w:val="es-MX"/>
        </w:rPr>
        <w:t xml:space="preserve"> </w:t>
      </w:r>
      <w:r w:rsidR="007D3A2B">
        <w:rPr>
          <w:rFonts w:eastAsia="Calibri"/>
          <w:lang w:val="es-MX"/>
        </w:rPr>
        <w:t xml:space="preserve">e </w:t>
      </w:r>
      <w:r w:rsidR="001370CE">
        <w:rPr>
          <w:rFonts w:eastAsia="Calibri"/>
          <w:lang w:val="es-MX"/>
        </w:rPr>
        <w:t>inmigrantes se ha enfocado en c</w:t>
      </w:r>
      <w:r w:rsidR="007D3A2B">
        <w:rPr>
          <w:rFonts w:eastAsia="Calibri"/>
          <w:lang w:val="es-MX"/>
        </w:rPr>
        <w:t>ó</w:t>
      </w:r>
      <w:r w:rsidR="001370CE">
        <w:rPr>
          <w:rFonts w:eastAsia="Calibri"/>
          <w:lang w:val="es-MX"/>
        </w:rPr>
        <w:t>mo los factores a nivel individual influyen en el interrogatorio y la detención</w:t>
      </w:r>
      <w:r w:rsidR="003E48D5">
        <w:rPr>
          <w:rFonts w:eastAsia="Calibri"/>
          <w:lang w:val="es-MX"/>
        </w:rPr>
        <w:t>,</w:t>
      </w:r>
      <w:r w:rsidR="001370CE">
        <w:rPr>
          <w:rFonts w:eastAsia="Calibri"/>
          <w:lang w:val="es-MX"/>
        </w:rPr>
        <w:t xml:space="preserve"> por </w:t>
      </w:r>
      <w:r w:rsidR="005656C5">
        <w:rPr>
          <w:rFonts w:eastAsia="Calibri"/>
          <w:lang w:val="es-MX"/>
        </w:rPr>
        <w:t xml:space="preserve">parte de </w:t>
      </w:r>
      <w:r w:rsidR="001370CE">
        <w:rPr>
          <w:rFonts w:eastAsia="Calibri"/>
          <w:lang w:val="es-MX"/>
        </w:rPr>
        <w:t>la policía</w:t>
      </w:r>
      <w:r w:rsidR="003E48D5">
        <w:rPr>
          <w:rFonts w:eastAsia="Calibri"/>
          <w:lang w:val="es-MX"/>
        </w:rPr>
        <w:t>,</w:t>
      </w:r>
      <w:r w:rsidR="001370CE">
        <w:rPr>
          <w:rFonts w:eastAsia="Calibri"/>
          <w:lang w:val="es-MX"/>
        </w:rPr>
        <w:t xml:space="preserve"> en vez de las </w:t>
      </w:r>
      <w:r w:rsidR="001370CE">
        <w:rPr>
          <w:rFonts w:eastAsia="Calibri"/>
          <w:lang w:val="es-MX"/>
        </w:rPr>
        <w:lastRenderedPageBreak/>
        <w:t xml:space="preserve">características que se asocian con los vecindarios </w:t>
      </w:r>
      <w:r w:rsidR="00FF12DA">
        <w:rPr>
          <w:rFonts w:eastAsia="Calibri"/>
          <w:lang w:val="es-MX"/>
        </w:rPr>
        <w:t xml:space="preserve">donde </w:t>
      </w:r>
      <w:r w:rsidR="001370CE">
        <w:rPr>
          <w:rFonts w:eastAsia="Calibri"/>
          <w:lang w:val="es-MX"/>
        </w:rPr>
        <w:t xml:space="preserve">viven las personas. </w:t>
      </w:r>
      <w:r w:rsidR="00201823">
        <w:rPr>
          <w:rFonts w:eastAsia="Calibri"/>
          <w:lang w:val="es-MX"/>
        </w:rPr>
        <w:t>Además</w:t>
      </w:r>
      <w:r w:rsidR="00FF12DA">
        <w:rPr>
          <w:rFonts w:eastAsia="Calibri"/>
          <w:lang w:val="es-MX"/>
        </w:rPr>
        <w:t>, la</w:t>
      </w:r>
      <w:r w:rsidR="00FD21B4">
        <w:rPr>
          <w:rFonts w:eastAsia="Calibri"/>
          <w:lang w:val="es-MX"/>
        </w:rPr>
        <w:t xml:space="preserve"> </w:t>
      </w:r>
      <w:r w:rsidR="007D3A2B">
        <w:rPr>
          <w:rFonts w:eastAsia="Calibri"/>
          <w:lang w:val="es-MX"/>
        </w:rPr>
        <w:t xml:space="preserve">mayoría de la </w:t>
      </w:r>
      <w:r w:rsidR="00FD21B4">
        <w:rPr>
          <w:rFonts w:eastAsia="Calibri"/>
          <w:lang w:val="es-MX"/>
        </w:rPr>
        <w:t>literatura</w:t>
      </w:r>
      <w:r w:rsidR="005226B4">
        <w:rPr>
          <w:rFonts w:eastAsia="Calibri"/>
          <w:lang w:val="es-MX"/>
        </w:rPr>
        <w:t xml:space="preserve"> sobre el contexto de vigilancia y del vecindario se ha enfocado en el aprendizaje etnográfic</w:t>
      </w:r>
      <w:r w:rsidR="00FF12DA">
        <w:rPr>
          <w:rFonts w:eastAsia="Calibri"/>
          <w:lang w:val="es-MX"/>
        </w:rPr>
        <w:t xml:space="preserve">o </w:t>
      </w:r>
      <w:r w:rsidR="003E48D5">
        <w:rPr>
          <w:rFonts w:eastAsia="Calibri"/>
          <w:lang w:val="es-MX"/>
        </w:rPr>
        <w:t xml:space="preserve">de </w:t>
      </w:r>
      <w:r w:rsidR="005226B4">
        <w:rPr>
          <w:rFonts w:eastAsia="Calibri"/>
          <w:lang w:val="es-MX"/>
        </w:rPr>
        <w:t xml:space="preserve">las experiencias de la gente pobre </w:t>
      </w:r>
      <w:r w:rsidR="007D3A2B">
        <w:rPr>
          <w:rFonts w:eastAsia="Calibri"/>
          <w:lang w:val="es-MX"/>
        </w:rPr>
        <w:t xml:space="preserve">urbana </w:t>
      </w:r>
      <w:r w:rsidR="005226B4">
        <w:rPr>
          <w:rFonts w:eastAsia="Calibri"/>
          <w:lang w:val="es-MX"/>
        </w:rPr>
        <w:t xml:space="preserve">de color </w:t>
      </w:r>
      <w:r w:rsidR="00FF12DA">
        <w:rPr>
          <w:rFonts w:eastAsia="Calibri"/>
          <w:lang w:val="es-MX"/>
        </w:rPr>
        <w:t xml:space="preserve">y </w:t>
      </w:r>
      <w:r w:rsidR="005226B4">
        <w:rPr>
          <w:rFonts w:eastAsia="Calibri"/>
          <w:lang w:val="es-MX"/>
        </w:rPr>
        <w:t>ha</w:t>
      </w:r>
      <w:r w:rsidR="00FF12DA">
        <w:rPr>
          <w:rFonts w:eastAsia="Calibri"/>
          <w:lang w:val="es-MX"/>
        </w:rPr>
        <w:t xml:space="preserve"> destacado la vigilancia puniti</w:t>
      </w:r>
      <w:r w:rsidR="005226B4">
        <w:rPr>
          <w:rFonts w:eastAsia="Calibri"/>
          <w:lang w:val="es-MX"/>
        </w:rPr>
        <w:t xml:space="preserve">va, un número desproporcionado de infracciones y el trato irrespetuoso </w:t>
      </w:r>
      <w:r w:rsidR="00FD21B4">
        <w:rPr>
          <w:rFonts w:eastAsia="Calibri"/>
          <w:lang w:val="es-MX"/>
        </w:rPr>
        <w:t xml:space="preserve"> </w:t>
      </w:r>
      <w:r w:rsidR="005226B4">
        <w:rPr>
          <w:rFonts w:eastAsia="Calibri"/>
          <w:lang w:val="es-MX"/>
        </w:rPr>
        <w:t>(</w:t>
      </w:r>
      <w:r w:rsidR="007D3A2B">
        <w:rPr>
          <w:rFonts w:eastAsia="Calibri"/>
          <w:lang w:val="es-MX"/>
        </w:rPr>
        <w:t>Por ejemplo,</w:t>
      </w:r>
      <w:r w:rsidR="00FD21B4">
        <w:rPr>
          <w:rFonts w:eastAsia="Calibri"/>
          <w:lang w:val="es-MX"/>
        </w:rPr>
        <w:t xml:space="preserve"> </w:t>
      </w:r>
      <w:r w:rsidR="009837D6">
        <w:rPr>
          <w:lang w:val="es-MX"/>
        </w:rPr>
        <w:t xml:space="preserve">Desmond </w:t>
      </w:r>
      <w:r w:rsidR="00424362">
        <w:rPr>
          <w:lang w:val="es-MX"/>
        </w:rPr>
        <w:t>and</w:t>
      </w:r>
      <w:r w:rsidR="00FD21B4" w:rsidRPr="00FD21B4">
        <w:rPr>
          <w:lang w:val="es-MX"/>
        </w:rPr>
        <w:t xml:space="preserve"> Valdez, 2013; Goffman, 2009; Rios, 2011),</w:t>
      </w:r>
      <w:r w:rsidR="00FD21B4">
        <w:rPr>
          <w:lang w:val="es-MX"/>
        </w:rPr>
        <w:t xml:space="preserve"> entre otros impactos negativos.  </w:t>
      </w:r>
      <w:r w:rsidR="00201823">
        <w:rPr>
          <w:lang w:val="es-MX"/>
        </w:rPr>
        <w:t>Además</w:t>
      </w:r>
      <w:r w:rsidR="00FD21B4">
        <w:rPr>
          <w:lang w:val="es-MX"/>
        </w:rPr>
        <w:t xml:space="preserve">, la literatura </w:t>
      </w:r>
      <w:r w:rsidR="005226B4">
        <w:rPr>
          <w:lang w:val="es-MX"/>
        </w:rPr>
        <w:t xml:space="preserve"> sobre las desventajas </w:t>
      </w:r>
      <w:r w:rsidR="005226B4" w:rsidRPr="00424362">
        <w:rPr>
          <w:lang w:val="es-MX"/>
        </w:rPr>
        <w:t xml:space="preserve">del vecindario concentrado </w:t>
      </w:r>
      <w:r w:rsidR="005226B4">
        <w:rPr>
          <w:lang w:val="es-MX"/>
        </w:rPr>
        <w:t xml:space="preserve">y </w:t>
      </w:r>
      <w:r w:rsidR="00B37354">
        <w:rPr>
          <w:lang w:val="es-MX"/>
        </w:rPr>
        <w:t>la</w:t>
      </w:r>
      <w:r w:rsidR="005226B4">
        <w:rPr>
          <w:lang w:val="es-MX"/>
        </w:rPr>
        <w:t xml:space="preserve"> raza </w:t>
      </w:r>
      <w:r w:rsidR="00163303">
        <w:rPr>
          <w:lang w:val="es-MX"/>
        </w:rPr>
        <w:t xml:space="preserve">se ha enfocado en el delito, mientras que la literatura sobre grupos de vecindarios de inmigrantes cae bajo el contexto del enclave </w:t>
      </w:r>
      <w:r w:rsidR="00B37354">
        <w:rPr>
          <w:lang w:val="es-MX"/>
        </w:rPr>
        <w:t>étnico</w:t>
      </w:r>
      <w:r w:rsidR="00163303">
        <w:rPr>
          <w:lang w:val="es-MX"/>
        </w:rPr>
        <w:t xml:space="preserve">, los cuales han dado muy poca </w:t>
      </w:r>
      <w:r w:rsidR="00163303" w:rsidRPr="00B37354">
        <w:rPr>
          <w:lang w:val="es-MX"/>
        </w:rPr>
        <w:t>importancia</w:t>
      </w:r>
      <w:r w:rsidR="007D3A2B">
        <w:rPr>
          <w:lang w:val="es-MX"/>
        </w:rPr>
        <w:t xml:space="preserve"> a la vigilancia</w:t>
      </w:r>
      <w:r w:rsidR="00B37354">
        <w:rPr>
          <w:lang w:val="es-MX"/>
        </w:rPr>
        <w:t>. A continuación</w:t>
      </w:r>
      <w:r w:rsidR="003E48D5">
        <w:rPr>
          <w:lang w:val="es-MX"/>
        </w:rPr>
        <w:t>,</w:t>
      </w:r>
      <w:r w:rsidR="00B37354">
        <w:rPr>
          <w:lang w:val="es-MX"/>
        </w:rPr>
        <w:t xml:space="preserve"> </w:t>
      </w:r>
      <w:r w:rsidR="00FF12DA">
        <w:rPr>
          <w:lang w:val="es-MX"/>
        </w:rPr>
        <w:t xml:space="preserve">esbozamos algunas visiones útiles </w:t>
      </w:r>
      <w:r w:rsidR="00B92138">
        <w:rPr>
          <w:lang w:val="es-MX"/>
        </w:rPr>
        <w:t xml:space="preserve">que se basan </w:t>
      </w:r>
      <w:r w:rsidR="00FF12DA">
        <w:rPr>
          <w:lang w:val="es-MX"/>
        </w:rPr>
        <w:t>tanto en el aprendizaje s</w:t>
      </w:r>
      <w:r w:rsidR="00B37354">
        <w:rPr>
          <w:lang w:val="es-MX"/>
        </w:rPr>
        <w:t xml:space="preserve">obre la influencia de </w:t>
      </w:r>
      <w:r w:rsidR="007D3A2B">
        <w:rPr>
          <w:lang w:val="es-MX"/>
        </w:rPr>
        <w:t xml:space="preserve">las desventajas </w:t>
      </w:r>
      <w:r w:rsidR="00424362">
        <w:rPr>
          <w:lang w:val="es-MX"/>
        </w:rPr>
        <w:t>de los</w:t>
      </w:r>
      <w:r w:rsidR="007D3A2B" w:rsidRPr="00424362">
        <w:rPr>
          <w:lang w:val="es-MX"/>
        </w:rPr>
        <w:t xml:space="preserve"> vecindario</w:t>
      </w:r>
      <w:r w:rsidR="00424362">
        <w:rPr>
          <w:lang w:val="es-MX"/>
        </w:rPr>
        <w:t>s</w:t>
      </w:r>
      <w:r w:rsidR="007D3A2B" w:rsidRPr="00424362">
        <w:rPr>
          <w:lang w:val="es-MX"/>
        </w:rPr>
        <w:t xml:space="preserve"> concentrado</w:t>
      </w:r>
      <w:r w:rsidR="00424362">
        <w:rPr>
          <w:lang w:val="es-MX"/>
        </w:rPr>
        <w:t>s</w:t>
      </w:r>
      <w:r w:rsidR="007D3A2B" w:rsidRPr="00424362">
        <w:rPr>
          <w:lang w:val="es-MX"/>
        </w:rPr>
        <w:t xml:space="preserve"> </w:t>
      </w:r>
      <w:r w:rsidR="007D3A2B">
        <w:rPr>
          <w:lang w:val="es-MX"/>
        </w:rPr>
        <w:t xml:space="preserve">y </w:t>
      </w:r>
      <w:r w:rsidR="00B37354">
        <w:rPr>
          <w:lang w:val="es-MX"/>
        </w:rPr>
        <w:t xml:space="preserve">el delito y </w:t>
      </w:r>
      <w:r w:rsidR="007D3A2B">
        <w:rPr>
          <w:lang w:val="es-MX"/>
        </w:rPr>
        <w:t>los</w:t>
      </w:r>
      <w:r w:rsidR="003E48D5">
        <w:rPr>
          <w:lang w:val="es-MX"/>
        </w:rPr>
        <w:t xml:space="preserve"> </w:t>
      </w:r>
      <w:r w:rsidR="00B37354">
        <w:rPr>
          <w:lang w:val="es-MX"/>
        </w:rPr>
        <w:t>enclave</w:t>
      </w:r>
      <w:r w:rsidR="007D3A2B">
        <w:rPr>
          <w:lang w:val="es-MX"/>
        </w:rPr>
        <w:t>s</w:t>
      </w:r>
      <w:r w:rsidR="00B37354">
        <w:rPr>
          <w:lang w:val="es-MX"/>
        </w:rPr>
        <w:t xml:space="preserve"> étnico</w:t>
      </w:r>
      <w:r w:rsidR="007D3A2B">
        <w:rPr>
          <w:lang w:val="es-MX"/>
        </w:rPr>
        <w:t>s</w:t>
      </w:r>
      <w:r w:rsidR="00B37354">
        <w:rPr>
          <w:lang w:val="es-MX"/>
        </w:rPr>
        <w:t xml:space="preserve">. </w:t>
      </w:r>
      <w:r w:rsidR="00163303" w:rsidRPr="00B37354">
        <w:rPr>
          <w:lang w:val="es-MX"/>
        </w:rPr>
        <w:t xml:space="preserve"> </w:t>
      </w:r>
    </w:p>
    <w:p w14:paraId="6FFC1DCA" w14:textId="75767A06" w:rsidR="00FD21B4" w:rsidRPr="00201823" w:rsidRDefault="00FD21B4" w:rsidP="00F0717A">
      <w:pPr>
        <w:spacing w:line="480" w:lineRule="auto"/>
        <w:ind w:firstLine="720"/>
        <w:jc w:val="both"/>
        <w:rPr>
          <w:lang w:val="es-MX"/>
        </w:rPr>
      </w:pPr>
      <w:r w:rsidRPr="00FD21B4">
        <w:rPr>
          <w:lang w:val="es-MX"/>
        </w:rPr>
        <w:t xml:space="preserve">Existe menos </w:t>
      </w:r>
      <w:r w:rsidR="00201823" w:rsidRPr="00FD21B4">
        <w:rPr>
          <w:lang w:val="es-MX"/>
        </w:rPr>
        <w:t>investigación</w:t>
      </w:r>
      <w:r w:rsidR="00C85FC5">
        <w:rPr>
          <w:lang w:val="es-MX"/>
        </w:rPr>
        <w:t xml:space="preserve"> de</w:t>
      </w:r>
      <w:r w:rsidR="00B22494">
        <w:rPr>
          <w:lang w:val="es-MX"/>
        </w:rPr>
        <w:t xml:space="preserve"> encuestas sobre el contexto del vecindario y la vigilancia </w:t>
      </w:r>
      <w:r w:rsidR="00C85FC5">
        <w:rPr>
          <w:lang w:val="es-MX"/>
        </w:rPr>
        <w:t>que haya</w:t>
      </w:r>
      <w:r w:rsidR="00B22494">
        <w:rPr>
          <w:lang w:val="es-MX"/>
        </w:rPr>
        <w:t xml:space="preserve"> examinado la influencia de la pobreza y la raza/etnicidad. Una excepción importante es el trabajo de </w:t>
      </w:r>
      <w:r w:rsidR="00C85FC5" w:rsidRPr="00C85FC5">
        <w:rPr>
          <w:lang w:val="es-MX"/>
        </w:rPr>
        <w:t xml:space="preserve">Sampson </w:t>
      </w:r>
      <w:r w:rsidR="00C85FC5" w:rsidRPr="00C85FC5">
        <w:t>&amp;</w:t>
      </w:r>
      <w:r w:rsidR="00C85FC5" w:rsidRPr="00C85FC5">
        <w:rPr>
          <w:lang w:val="es-MX"/>
        </w:rPr>
        <w:t xml:space="preserve"> Associates</w:t>
      </w:r>
      <w:r w:rsidR="00B22494" w:rsidRPr="00C85FC5">
        <w:rPr>
          <w:lang w:val="es-MX"/>
        </w:rPr>
        <w:t xml:space="preserve"> </w:t>
      </w:r>
      <w:r w:rsidRPr="00C85FC5">
        <w:rPr>
          <w:lang w:val="es-MX"/>
        </w:rPr>
        <w:t xml:space="preserve"> </w:t>
      </w:r>
      <w:r w:rsidR="00C85FC5">
        <w:rPr>
          <w:rFonts w:eastAsia="Calibri"/>
          <w:lang w:val="es-MX"/>
        </w:rPr>
        <w:t>(Sampson y Bean 2006; Sampson and</w:t>
      </w:r>
      <w:r w:rsidR="00B92138">
        <w:rPr>
          <w:rFonts w:eastAsia="Calibri"/>
          <w:lang w:val="es-MX"/>
        </w:rPr>
        <w:t xml:space="preserve"> </w:t>
      </w:r>
      <w:r w:rsidRPr="00FD21B4">
        <w:rPr>
          <w:rFonts w:eastAsia="Calibri"/>
          <w:lang w:val="es-MX"/>
        </w:rPr>
        <w:t>Wilson 1995)</w:t>
      </w:r>
      <w:r w:rsidR="00B92138">
        <w:rPr>
          <w:rFonts w:eastAsia="Calibri"/>
          <w:lang w:val="es-MX"/>
        </w:rPr>
        <w:t xml:space="preserve"> quien</w:t>
      </w:r>
      <w:r w:rsidR="00C85FC5">
        <w:rPr>
          <w:rFonts w:eastAsia="Calibri"/>
          <w:lang w:val="es-MX"/>
        </w:rPr>
        <w:t>es conceptualizaron</w:t>
      </w:r>
      <w:r w:rsidR="00B22494">
        <w:rPr>
          <w:rFonts w:eastAsia="Calibri"/>
          <w:lang w:val="es-MX"/>
        </w:rPr>
        <w:t xml:space="preserve"> </w:t>
      </w:r>
      <w:r w:rsidR="00B22494" w:rsidRPr="00C85FC5">
        <w:rPr>
          <w:rFonts w:eastAsia="Calibri"/>
          <w:i/>
          <w:lang w:val="es-MX"/>
        </w:rPr>
        <w:t>la tesis de la</w:t>
      </w:r>
      <w:r w:rsidR="00B22494">
        <w:rPr>
          <w:rFonts w:eastAsia="Calibri"/>
          <w:lang w:val="es-MX"/>
        </w:rPr>
        <w:t xml:space="preserve"> </w:t>
      </w:r>
      <w:r w:rsidR="00201823" w:rsidRPr="00FD21B4">
        <w:rPr>
          <w:rFonts w:eastAsia="Calibri"/>
          <w:i/>
          <w:iCs/>
          <w:lang w:val="es-MX"/>
        </w:rPr>
        <w:t>invariancia</w:t>
      </w:r>
      <w:r w:rsidRPr="00FD21B4">
        <w:rPr>
          <w:rFonts w:eastAsia="Calibri"/>
          <w:i/>
          <w:iCs/>
          <w:lang w:val="es-MX"/>
        </w:rPr>
        <w:t xml:space="preserve"> racial </w:t>
      </w:r>
      <w:r>
        <w:rPr>
          <w:rFonts w:eastAsia="Calibri"/>
          <w:lang w:val="es-MX"/>
        </w:rPr>
        <w:t>q</w:t>
      </w:r>
      <w:r w:rsidR="00B22494">
        <w:rPr>
          <w:rFonts w:eastAsia="Calibri"/>
          <w:lang w:val="es-MX"/>
        </w:rPr>
        <w:t xml:space="preserve">ue destaca la importancia de la </w:t>
      </w:r>
      <w:r w:rsidR="00C85FC5">
        <w:rPr>
          <w:rFonts w:eastAsia="Calibri"/>
          <w:lang w:val="es-MX"/>
        </w:rPr>
        <w:t xml:space="preserve">segregación de las </w:t>
      </w:r>
      <w:r w:rsidR="00B22494">
        <w:rPr>
          <w:rFonts w:eastAsia="Calibri"/>
          <w:lang w:val="es-MX"/>
        </w:rPr>
        <w:t>desventaja</w:t>
      </w:r>
      <w:r w:rsidR="00C85FC5">
        <w:rPr>
          <w:rFonts w:eastAsia="Calibri"/>
          <w:lang w:val="es-MX"/>
        </w:rPr>
        <w:t>s</w:t>
      </w:r>
      <w:r>
        <w:rPr>
          <w:rFonts w:eastAsia="Calibri"/>
          <w:lang w:val="es-MX"/>
        </w:rPr>
        <w:t xml:space="preserve"> co</w:t>
      </w:r>
      <w:r w:rsidR="00B22494">
        <w:rPr>
          <w:rFonts w:eastAsia="Calibri"/>
          <w:lang w:val="es-MX"/>
        </w:rPr>
        <w:t>ncentrada</w:t>
      </w:r>
      <w:r w:rsidR="00C85FC5">
        <w:rPr>
          <w:rFonts w:eastAsia="Calibri"/>
          <w:lang w:val="es-MX"/>
        </w:rPr>
        <w:t xml:space="preserve">s y </w:t>
      </w:r>
      <w:r>
        <w:rPr>
          <w:rFonts w:eastAsia="Calibri"/>
          <w:lang w:val="es-MX"/>
        </w:rPr>
        <w:t>racial</w:t>
      </w:r>
      <w:r w:rsidR="00424362">
        <w:rPr>
          <w:rFonts w:eastAsia="Calibri"/>
          <w:lang w:val="es-MX"/>
        </w:rPr>
        <w:t>es</w:t>
      </w:r>
      <w:r>
        <w:rPr>
          <w:rFonts w:eastAsia="Calibri"/>
          <w:lang w:val="es-MX"/>
        </w:rPr>
        <w:t xml:space="preserve"> al explicar las desigualdades raciales </w:t>
      </w:r>
      <w:r w:rsidR="00B22494">
        <w:rPr>
          <w:rFonts w:eastAsia="Calibri"/>
          <w:lang w:val="es-MX"/>
        </w:rPr>
        <w:t xml:space="preserve">entre negros y blancos en relación a los delitos. </w:t>
      </w:r>
      <w:r>
        <w:rPr>
          <w:rFonts w:eastAsia="Calibri"/>
          <w:lang w:val="es-MX"/>
        </w:rPr>
        <w:t xml:space="preserve">La </w:t>
      </w:r>
      <w:r w:rsidRPr="00FD21B4">
        <w:rPr>
          <w:rFonts w:eastAsia="Calibri"/>
          <w:i/>
          <w:iCs/>
          <w:lang w:val="es-MX"/>
        </w:rPr>
        <w:t>tesis</w:t>
      </w:r>
      <w:r>
        <w:rPr>
          <w:rFonts w:eastAsia="Calibri"/>
          <w:lang w:val="es-MX"/>
        </w:rPr>
        <w:t xml:space="preserve"> </w:t>
      </w:r>
      <w:r w:rsidRPr="00FD21B4">
        <w:rPr>
          <w:rFonts w:eastAsia="Calibri"/>
          <w:i/>
          <w:iCs/>
          <w:lang w:val="es-MX"/>
        </w:rPr>
        <w:t xml:space="preserve">de la </w:t>
      </w:r>
      <w:r w:rsidR="00201823" w:rsidRPr="00FD21B4">
        <w:rPr>
          <w:rFonts w:eastAsia="Calibri"/>
          <w:i/>
          <w:iCs/>
          <w:lang w:val="es-MX"/>
        </w:rPr>
        <w:t>invariancia</w:t>
      </w:r>
      <w:r w:rsidRPr="00FD21B4">
        <w:rPr>
          <w:rFonts w:eastAsia="Calibri"/>
          <w:i/>
          <w:iCs/>
          <w:lang w:val="es-MX"/>
        </w:rPr>
        <w:t xml:space="preserve"> racial</w:t>
      </w:r>
      <w:r>
        <w:rPr>
          <w:rFonts w:eastAsia="Calibri"/>
          <w:lang w:val="es-MX"/>
        </w:rPr>
        <w:t xml:space="preserve"> también se </w:t>
      </w:r>
      <w:r w:rsidR="00B92138">
        <w:rPr>
          <w:rFonts w:eastAsia="Calibri"/>
          <w:lang w:val="es-MX"/>
        </w:rPr>
        <w:t>considera</w:t>
      </w:r>
      <w:r w:rsidR="00B22494">
        <w:rPr>
          <w:rFonts w:eastAsia="Calibri"/>
          <w:lang w:val="es-MX"/>
        </w:rPr>
        <w:t xml:space="preserve"> relevante para</w:t>
      </w:r>
      <w:r w:rsidR="00077C7B">
        <w:rPr>
          <w:rFonts w:eastAsia="Calibri"/>
          <w:lang w:val="es-MX"/>
        </w:rPr>
        <w:t xml:space="preserve"> los latinos</w:t>
      </w:r>
      <w:r>
        <w:rPr>
          <w:rFonts w:eastAsia="Calibri"/>
          <w:lang w:val="es-MX"/>
        </w:rPr>
        <w:t xml:space="preserve"> (</w:t>
      </w:r>
      <w:r w:rsidR="00B22494" w:rsidRPr="00FD21B4">
        <w:rPr>
          <w:rFonts w:eastAsia="Calibri"/>
          <w:lang w:val="es-MX"/>
        </w:rPr>
        <w:t>Martínez</w:t>
      </w:r>
      <w:r w:rsidRPr="00FD21B4">
        <w:rPr>
          <w:rFonts w:eastAsia="Calibri"/>
          <w:lang w:val="es-MX"/>
        </w:rPr>
        <w:t xml:space="preserve"> 2003; 2008).</w:t>
      </w:r>
      <w:r>
        <w:rPr>
          <w:rFonts w:eastAsia="Calibri"/>
          <w:lang w:val="es-MX"/>
        </w:rPr>
        <w:t xml:space="preserve"> Las per</w:t>
      </w:r>
      <w:r w:rsidR="00077C7B">
        <w:rPr>
          <w:rFonts w:eastAsia="Calibri"/>
          <w:lang w:val="es-MX"/>
        </w:rPr>
        <w:t>sonas de color y los latinos</w:t>
      </w:r>
      <w:r>
        <w:rPr>
          <w:rFonts w:eastAsia="Calibri"/>
          <w:lang w:val="es-MX"/>
        </w:rPr>
        <w:t xml:space="preserve"> son relegados a </w:t>
      </w:r>
      <w:r w:rsidR="00B22494">
        <w:rPr>
          <w:rFonts w:eastAsia="Calibri"/>
          <w:lang w:val="es-MX"/>
        </w:rPr>
        <w:t>vivir</w:t>
      </w:r>
      <w:r>
        <w:rPr>
          <w:rFonts w:eastAsia="Calibri"/>
          <w:lang w:val="es-MX"/>
        </w:rPr>
        <w:t xml:space="preserve"> en las áreas geográficas</w:t>
      </w:r>
      <w:r w:rsidR="00B22494">
        <w:rPr>
          <w:rFonts w:eastAsia="Calibri"/>
          <w:lang w:val="es-MX"/>
        </w:rPr>
        <w:t xml:space="preserve"> marcadas por </w:t>
      </w:r>
      <w:r w:rsidR="00077C7B">
        <w:rPr>
          <w:rFonts w:eastAsia="Calibri"/>
          <w:lang w:val="es-MX"/>
        </w:rPr>
        <w:t xml:space="preserve">las </w:t>
      </w:r>
      <w:r w:rsidR="00077C7B" w:rsidRPr="00C85FC5">
        <w:rPr>
          <w:rFonts w:eastAsia="Calibri"/>
          <w:lang w:val="es-MX"/>
        </w:rPr>
        <w:t>d</w:t>
      </w:r>
      <w:r w:rsidR="00201823" w:rsidRPr="00C85FC5">
        <w:rPr>
          <w:rFonts w:eastAsia="Calibri"/>
          <w:lang w:val="es-MX"/>
        </w:rPr>
        <w:t xml:space="preserve">esventajas concentradas debido a una variedad de desigualdades económicas </w:t>
      </w:r>
      <w:r w:rsidR="00424362">
        <w:rPr>
          <w:rFonts w:eastAsia="Calibri"/>
          <w:lang w:val="es-MX"/>
        </w:rPr>
        <w:t>y sociales (P</w:t>
      </w:r>
      <w:r w:rsidR="00077C7B" w:rsidRPr="00C85FC5">
        <w:rPr>
          <w:rFonts w:eastAsia="Calibri"/>
          <w:lang w:val="es-MX"/>
        </w:rPr>
        <w:t>or ejemplo</w:t>
      </w:r>
      <w:r w:rsidR="00201823" w:rsidRPr="00C85FC5">
        <w:rPr>
          <w:rFonts w:eastAsia="Calibri"/>
          <w:lang w:val="es-MX"/>
        </w:rPr>
        <w:t>, desempleo, dependencia de</w:t>
      </w:r>
      <w:r w:rsidR="00B22494" w:rsidRPr="00C85FC5">
        <w:rPr>
          <w:rFonts w:eastAsia="Calibri"/>
          <w:lang w:val="es-MX"/>
        </w:rPr>
        <w:t xml:space="preserve"> </w:t>
      </w:r>
      <w:r w:rsidR="00B22494">
        <w:rPr>
          <w:rFonts w:eastAsia="Calibri"/>
          <w:lang w:val="es-MX"/>
        </w:rPr>
        <w:t>la asistencia social</w:t>
      </w:r>
      <w:r w:rsidR="00C85FC5">
        <w:rPr>
          <w:rFonts w:eastAsia="Calibri"/>
          <w:lang w:val="es-MX"/>
        </w:rPr>
        <w:t>, pobreza, disfunción familiar</w:t>
      </w:r>
      <w:r w:rsidR="00201823">
        <w:rPr>
          <w:rFonts w:eastAsia="Calibri"/>
          <w:lang w:val="es-MX"/>
        </w:rPr>
        <w:t xml:space="preserve"> e inestabilidad </w:t>
      </w:r>
      <w:r w:rsidR="00B22494">
        <w:rPr>
          <w:rFonts w:eastAsia="Calibri"/>
          <w:lang w:val="es-MX"/>
        </w:rPr>
        <w:t>de vivienda</w:t>
      </w:r>
      <w:r w:rsidR="00201823">
        <w:rPr>
          <w:rFonts w:eastAsia="Calibri"/>
          <w:lang w:val="es-MX"/>
        </w:rPr>
        <w:t xml:space="preserve">) todas asociadas con </w:t>
      </w:r>
      <w:r w:rsidR="00B22494">
        <w:rPr>
          <w:rFonts w:eastAsia="Calibri"/>
          <w:lang w:val="es-MX"/>
        </w:rPr>
        <w:t>los delitos</w:t>
      </w:r>
      <w:r w:rsidR="00B92138">
        <w:rPr>
          <w:rFonts w:eastAsia="Calibri"/>
          <w:lang w:val="es-MX"/>
        </w:rPr>
        <w:t xml:space="preserve"> </w:t>
      </w:r>
      <w:r w:rsidR="00201823" w:rsidRPr="00201823">
        <w:rPr>
          <w:rFonts w:eastAsia="Calibri"/>
          <w:lang w:val="es-MX"/>
        </w:rPr>
        <w:t xml:space="preserve">(Martin et al. 2011).  </w:t>
      </w:r>
    </w:p>
    <w:p w14:paraId="07DDA4B7" w14:textId="0346D6C9" w:rsidR="00201823" w:rsidRPr="00201823" w:rsidRDefault="00201823" w:rsidP="00F0717A">
      <w:pPr>
        <w:spacing w:line="480" w:lineRule="auto"/>
        <w:ind w:firstLine="720"/>
        <w:jc w:val="both"/>
        <w:rPr>
          <w:rFonts w:eastAsia="Calibri"/>
          <w:lang w:val="es-MX"/>
        </w:rPr>
      </w:pPr>
      <w:r w:rsidRPr="00201823">
        <w:rPr>
          <w:rFonts w:eastAsia="Calibri"/>
          <w:lang w:val="es-MX"/>
        </w:rPr>
        <w:t>Sin embargo</w:t>
      </w:r>
      <w:r w:rsidR="00B92138">
        <w:rPr>
          <w:rFonts w:eastAsia="Calibri"/>
          <w:lang w:val="es-MX"/>
        </w:rPr>
        <w:t>,</w:t>
      </w:r>
      <w:r w:rsidRPr="00201823">
        <w:rPr>
          <w:rFonts w:eastAsia="Calibri"/>
          <w:lang w:val="es-MX"/>
        </w:rPr>
        <w:t xml:space="preserve"> cuando se trata de vecindarios </w:t>
      </w:r>
      <w:r w:rsidR="00A616EA">
        <w:rPr>
          <w:rFonts w:eastAsia="Calibri"/>
          <w:lang w:val="es-MX"/>
        </w:rPr>
        <w:t xml:space="preserve">de </w:t>
      </w:r>
      <w:r w:rsidRPr="00201823">
        <w:rPr>
          <w:rFonts w:eastAsia="Calibri"/>
          <w:lang w:val="es-MX"/>
        </w:rPr>
        <w:t xml:space="preserve">inmigrantes </w:t>
      </w:r>
      <w:r w:rsidR="00B92138">
        <w:rPr>
          <w:rFonts w:eastAsia="Calibri"/>
          <w:lang w:val="es-MX"/>
        </w:rPr>
        <w:t>no queda muy claro</w:t>
      </w:r>
      <w:r w:rsidRPr="00201823">
        <w:rPr>
          <w:rFonts w:eastAsia="Calibri"/>
          <w:lang w:val="es-MX"/>
        </w:rPr>
        <w:t xml:space="preserve"> </w:t>
      </w:r>
      <w:r w:rsidR="00A616EA">
        <w:rPr>
          <w:rFonts w:eastAsia="Calibri"/>
          <w:lang w:val="es-MX"/>
        </w:rPr>
        <w:t>l</w:t>
      </w:r>
      <w:r w:rsidRPr="00201823">
        <w:rPr>
          <w:rFonts w:eastAsia="Calibri"/>
          <w:lang w:val="es-MX"/>
        </w:rPr>
        <w:t>a influencia de lo que se conoce como desve</w:t>
      </w:r>
      <w:r>
        <w:rPr>
          <w:rFonts w:eastAsia="Calibri"/>
          <w:lang w:val="es-MX"/>
        </w:rPr>
        <w:t xml:space="preserve">ntajas concentradas </w:t>
      </w:r>
      <w:r w:rsidR="00A616EA">
        <w:rPr>
          <w:rFonts w:eastAsia="Calibri"/>
          <w:lang w:val="es-MX"/>
        </w:rPr>
        <w:t xml:space="preserve">sobre delitos y </w:t>
      </w:r>
      <w:r>
        <w:rPr>
          <w:rFonts w:eastAsia="Calibri"/>
          <w:lang w:val="es-MX"/>
        </w:rPr>
        <w:t xml:space="preserve">vigilancia. </w:t>
      </w:r>
      <w:r w:rsidR="00A616EA">
        <w:rPr>
          <w:rFonts w:eastAsia="Calibri"/>
          <w:lang w:val="es-MX"/>
        </w:rPr>
        <w:lastRenderedPageBreak/>
        <w:t>Ampliando</w:t>
      </w:r>
      <w:r>
        <w:rPr>
          <w:rFonts w:eastAsia="Calibri"/>
          <w:lang w:val="es-MX"/>
        </w:rPr>
        <w:t xml:space="preserve"> sobre la </w:t>
      </w:r>
      <w:r w:rsidRPr="00201823">
        <w:rPr>
          <w:rFonts w:eastAsia="Calibri"/>
          <w:i/>
          <w:iCs/>
          <w:lang w:val="es-MX"/>
        </w:rPr>
        <w:t>perspectiva de invariancia racial</w:t>
      </w:r>
      <w:r w:rsidR="00A616EA">
        <w:rPr>
          <w:rFonts w:eastAsia="Calibri"/>
          <w:lang w:val="es-MX"/>
        </w:rPr>
        <w:t xml:space="preserve"> de Sampson y</w:t>
      </w:r>
      <w:r>
        <w:rPr>
          <w:rFonts w:eastAsia="Calibri"/>
          <w:lang w:val="es-MX"/>
        </w:rPr>
        <w:t xml:space="preserve"> asociados </w:t>
      </w:r>
      <w:r w:rsidRPr="00201823">
        <w:rPr>
          <w:rFonts w:eastAsia="Calibri"/>
          <w:lang w:val="es-MX"/>
        </w:rPr>
        <w:t>(</w:t>
      </w:r>
      <w:r>
        <w:rPr>
          <w:rFonts w:eastAsia="Calibri"/>
          <w:lang w:val="es-MX"/>
        </w:rPr>
        <w:t>por ejemplo</w:t>
      </w:r>
      <w:r w:rsidR="00077C7B">
        <w:rPr>
          <w:rFonts w:eastAsia="Calibri"/>
          <w:lang w:val="es-MX"/>
        </w:rPr>
        <w:t>,</w:t>
      </w:r>
      <w:r w:rsidR="009837D6">
        <w:rPr>
          <w:rFonts w:eastAsia="Calibri"/>
          <w:lang w:val="es-MX"/>
        </w:rPr>
        <w:t xml:space="preserve"> Sampson y Bean 2006; Sampson y </w:t>
      </w:r>
      <w:r w:rsidRPr="00201823">
        <w:rPr>
          <w:rFonts w:eastAsia="Calibri"/>
          <w:lang w:val="es-MX"/>
        </w:rPr>
        <w:t>Wilson 1995), Martinez (2002, 2013)</w:t>
      </w:r>
      <w:r>
        <w:rPr>
          <w:rFonts w:eastAsia="Calibri"/>
          <w:lang w:val="es-MX"/>
        </w:rPr>
        <w:t xml:space="preserve"> y Martinez y </w:t>
      </w:r>
      <w:r w:rsidR="00A616EA">
        <w:rPr>
          <w:rFonts w:eastAsia="Calibri"/>
          <w:lang w:val="es-MX"/>
        </w:rPr>
        <w:t xml:space="preserve">Valenzuela (2006) </w:t>
      </w:r>
      <w:r w:rsidR="002123F6">
        <w:rPr>
          <w:rFonts w:eastAsia="Calibri"/>
          <w:lang w:val="es-MX"/>
        </w:rPr>
        <w:t xml:space="preserve">desarrollaron </w:t>
      </w:r>
      <w:r w:rsidRPr="002123F6">
        <w:rPr>
          <w:rFonts w:eastAsia="Calibri"/>
          <w:i/>
          <w:lang w:val="es-MX"/>
        </w:rPr>
        <w:t xml:space="preserve">la teoría de la revitalización </w:t>
      </w:r>
      <w:r w:rsidR="00A616EA" w:rsidRPr="002123F6">
        <w:rPr>
          <w:rFonts w:eastAsia="Calibri"/>
          <w:i/>
          <w:lang w:val="es-MX"/>
        </w:rPr>
        <w:t>del inmigrante</w:t>
      </w:r>
      <w:r w:rsidRPr="00472247">
        <w:rPr>
          <w:rFonts w:eastAsia="Calibri"/>
          <w:lang w:val="es-MX"/>
        </w:rPr>
        <w:t xml:space="preserve"> para describir</w:t>
      </w:r>
      <w:r>
        <w:rPr>
          <w:rFonts w:eastAsia="Calibri"/>
          <w:lang w:val="es-MX"/>
        </w:rPr>
        <w:t xml:space="preserve"> como la inmigración revitaliza los vecindarios urbanos </w:t>
      </w:r>
      <w:r w:rsidR="002123F6">
        <w:rPr>
          <w:rFonts w:eastAsia="Calibri"/>
          <w:lang w:val="es-MX"/>
        </w:rPr>
        <w:t xml:space="preserve">empobrecidos </w:t>
      </w:r>
      <w:r>
        <w:rPr>
          <w:rFonts w:eastAsia="Calibri"/>
          <w:lang w:val="es-MX"/>
        </w:rPr>
        <w:t xml:space="preserve">con familias trabajadoras y nuevos negocios, los cuales disminuyen </w:t>
      </w:r>
      <w:r w:rsidR="00472247">
        <w:rPr>
          <w:rFonts w:eastAsia="Calibri"/>
          <w:lang w:val="es-MX"/>
        </w:rPr>
        <w:t>la delincuencia</w:t>
      </w:r>
      <w:r w:rsidR="00B92138">
        <w:rPr>
          <w:rFonts w:eastAsia="Calibri"/>
          <w:lang w:val="es-MX"/>
        </w:rPr>
        <w:t>.</w:t>
      </w:r>
      <w:r w:rsidR="00472247">
        <w:rPr>
          <w:rFonts w:eastAsia="Calibri"/>
          <w:lang w:val="es-MX"/>
        </w:rPr>
        <w:t xml:space="preserve"> </w:t>
      </w:r>
      <w:r w:rsidRPr="00201823">
        <w:rPr>
          <w:rFonts w:eastAsia="Calibri"/>
          <w:lang w:val="es-MX"/>
        </w:rPr>
        <w:t>Vélez</w:t>
      </w:r>
      <w:r w:rsidR="00472247">
        <w:rPr>
          <w:rFonts w:eastAsia="Calibri"/>
          <w:lang w:val="es-MX"/>
        </w:rPr>
        <w:t xml:space="preserve"> (2009) por otra parte, acepta </w:t>
      </w:r>
      <w:r w:rsidRPr="00201823">
        <w:rPr>
          <w:rFonts w:eastAsia="Calibri"/>
          <w:lang w:val="es-MX"/>
        </w:rPr>
        <w:t>que</w:t>
      </w:r>
      <w:r w:rsidR="00472247">
        <w:rPr>
          <w:rFonts w:eastAsia="Calibri"/>
          <w:lang w:val="es-MX"/>
        </w:rPr>
        <w:t xml:space="preserve"> los </w:t>
      </w:r>
      <w:r w:rsidR="00B92138">
        <w:rPr>
          <w:rFonts w:eastAsia="Calibri"/>
          <w:lang w:val="es-MX"/>
        </w:rPr>
        <w:t>inmigrantes que han inmigrado en fecha reciente,</w:t>
      </w:r>
      <w:r w:rsidR="00472247">
        <w:rPr>
          <w:rFonts w:eastAsia="Calibri"/>
          <w:lang w:val="es-MX"/>
        </w:rPr>
        <w:t xml:space="preserve"> revitalizan los vecindarios urbanos en desventaja</w:t>
      </w:r>
      <w:r w:rsidR="002123F6">
        <w:rPr>
          <w:rFonts w:eastAsia="Calibri"/>
          <w:lang w:val="es-MX"/>
        </w:rPr>
        <w:t xml:space="preserve"> pero que los mismos aumentaron los niveles de homicidio a nivel local en los contextos de vecindarios en desventaja.</w:t>
      </w:r>
    </w:p>
    <w:p w14:paraId="5602DB68" w14:textId="3A11203F" w:rsidR="00201823" w:rsidRPr="00201823" w:rsidRDefault="00472247" w:rsidP="00F0717A">
      <w:pPr>
        <w:spacing w:line="480" w:lineRule="auto"/>
        <w:ind w:firstLine="720"/>
        <w:jc w:val="both"/>
        <w:rPr>
          <w:rFonts w:eastAsia="Calibri"/>
          <w:lang w:val="es-MX"/>
        </w:rPr>
      </w:pPr>
      <w:r>
        <w:rPr>
          <w:rFonts w:eastAsia="Calibri"/>
          <w:lang w:val="es-MX"/>
        </w:rPr>
        <w:t xml:space="preserve">Al estudiar la </w:t>
      </w:r>
      <w:r w:rsidR="00CF4D5D">
        <w:rPr>
          <w:rFonts w:eastAsia="Calibri"/>
          <w:lang w:val="es-MX"/>
        </w:rPr>
        <w:t>influencia</w:t>
      </w:r>
      <w:r>
        <w:rPr>
          <w:rFonts w:eastAsia="Calibri"/>
          <w:lang w:val="es-MX"/>
        </w:rPr>
        <w:t xml:space="preserve"> de los grupos de </w:t>
      </w:r>
      <w:r w:rsidR="00CF4D5D">
        <w:rPr>
          <w:rFonts w:eastAsia="Calibri"/>
          <w:lang w:val="es-MX"/>
        </w:rPr>
        <w:t>vecindarios</w:t>
      </w:r>
      <w:r>
        <w:rPr>
          <w:rFonts w:eastAsia="Calibri"/>
          <w:lang w:val="es-MX"/>
        </w:rPr>
        <w:t>, la literatura del inmigrante se ha enfocado en e</w:t>
      </w:r>
      <w:r w:rsidR="00201823">
        <w:rPr>
          <w:rFonts w:eastAsia="Calibri"/>
          <w:lang w:val="es-MX"/>
        </w:rPr>
        <w:t>l concepto del enclave étni</w:t>
      </w:r>
      <w:r w:rsidR="00B92138">
        <w:rPr>
          <w:rFonts w:eastAsia="Calibri"/>
          <w:lang w:val="es-MX"/>
        </w:rPr>
        <w:t>co. Creado</w:t>
      </w:r>
      <w:r w:rsidR="009837D6">
        <w:rPr>
          <w:rFonts w:eastAsia="Calibri"/>
          <w:lang w:val="es-MX"/>
        </w:rPr>
        <w:t xml:space="preserve"> primero por Hanna y</w:t>
      </w:r>
      <w:r w:rsidR="00201823">
        <w:rPr>
          <w:rFonts w:eastAsia="Calibri"/>
          <w:lang w:val="es-MX"/>
        </w:rPr>
        <w:t xml:space="preserve"> Hanna (1967), Alejandro Portes y</w:t>
      </w:r>
      <w:r w:rsidR="00CF4D5D">
        <w:rPr>
          <w:rFonts w:eastAsia="Calibri"/>
          <w:lang w:val="es-MX"/>
        </w:rPr>
        <w:t xml:space="preserve"> </w:t>
      </w:r>
      <w:r w:rsidR="00B92138">
        <w:rPr>
          <w:rFonts w:eastAsia="Calibri"/>
          <w:lang w:val="es-MX"/>
        </w:rPr>
        <w:t xml:space="preserve"> A</w:t>
      </w:r>
      <w:r w:rsidR="00201823">
        <w:rPr>
          <w:rFonts w:eastAsia="Calibri"/>
          <w:lang w:val="es-MX"/>
        </w:rPr>
        <w:t xml:space="preserve">sociados </w:t>
      </w:r>
      <w:r w:rsidR="00201823" w:rsidRPr="00201823">
        <w:rPr>
          <w:rFonts w:eastAsia="Calibri"/>
          <w:lang w:val="es-MX"/>
        </w:rPr>
        <w:t xml:space="preserve">(Portes and Bach 1985; Portes </w:t>
      </w:r>
      <w:r w:rsidR="002123F6">
        <w:rPr>
          <w:rFonts w:eastAsia="Calibri"/>
          <w:lang w:val="es-MX"/>
        </w:rPr>
        <w:t>y</w:t>
      </w:r>
      <w:r w:rsidR="00077C7B">
        <w:rPr>
          <w:rFonts w:eastAsia="Calibri"/>
          <w:lang w:val="es-MX"/>
        </w:rPr>
        <w:t xml:space="preserve"> Manning 1985; y</w:t>
      </w:r>
      <w:r w:rsidR="009837D6">
        <w:rPr>
          <w:rFonts w:eastAsia="Calibri"/>
          <w:lang w:val="es-MX"/>
        </w:rPr>
        <w:t xml:space="preserve"> Portes y</w:t>
      </w:r>
      <w:r w:rsidR="00201823" w:rsidRPr="00201823">
        <w:rPr>
          <w:rFonts w:eastAsia="Calibri"/>
          <w:lang w:val="es-MX"/>
        </w:rPr>
        <w:t xml:space="preserve"> Stepick 1985;</w:t>
      </w:r>
      <w:r w:rsidR="00CF4D5D">
        <w:rPr>
          <w:rFonts w:eastAsia="Calibri"/>
          <w:lang w:val="es-MX"/>
        </w:rPr>
        <w:t xml:space="preserve"> pero</w:t>
      </w:r>
      <w:r w:rsidR="00201823" w:rsidRPr="00201823">
        <w:rPr>
          <w:rFonts w:eastAsia="Calibri"/>
          <w:lang w:val="es-MX"/>
        </w:rPr>
        <w:t xml:space="preserve"> </w:t>
      </w:r>
      <w:r w:rsidR="009837D6">
        <w:rPr>
          <w:rFonts w:eastAsia="Calibri"/>
          <w:lang w:val="es-MX"/>
        </w:rPr>
        <w:t>también</w:t>
      </w:r>
      <w:r w:rsidR="00CF4D5D">
        <w:rPr>
          <w:rFonts w:eastAsia="Calibri"/>
          <w:lang w:val="es-MX"/>
        </w:rPr>
        <w:t xml:space="preserve"> </w:t>
      </w:r>
      <w:r w:rsidR="0055669E">
        <w:rPr>
          <w:rFonts w:eastAsia="Calibri"/>
          <w:lang w:val="es-MX"/>
        </w:rPr>
        <w:t xml:space="preserve">el </w:t>
      </w:r>
      <w:r w:rsidR="00201823" w:rsidRPr="00201823">
        <w:rPr>
          <w:rFonts w:eastAsia="Calibri"/>
          <w:lang w:val="es-MX"/>
        </w:rPr>
        <w:t xml:space="preserve"> Model</w:t>
      </w:r>
      <w:r w:rsidR="0055669E">
        <w:rPr>
          <w:rFonts w:eastAsia="Calibri"/>
          <w:lang w:val="es-MX"/>
        </w:rPr>
        <w:t>o</w:t>
      </w:r>
      <w:r w:rsidR="00201823" w:rsidRPr="00201823">
        <w:rPr>
          <w:rFonts w:eastAsia="Calibri"/>
          <w:lang w:val="es-MX"/>
        </w:rPr>
        <w:t xml:space="preserve"> 1985)</w:t>
      </w:r>
      <w:r w:rsidR="00B92138">
        <w:rPr>
          <w:rFonts w:eastAsia="Calibri"/>
          <w:lang w:val="es-MX"/>
        </w:rPr>
        <w:t xml:space="preserve"> desarrollaron</w:t>
      </w:r>
      <w:r w:rsidR="002462C6">
        <w:rPr>
          <w:rFonts w:eastAsia="Calibri"/>
          <w:lang w:val="es-MX"/>
        </w:rPr>
        <w:t xml:space="preserve"> teóricamente </w:t>
      </w:r>
      <w:r w:rsidR="00201823">
        <w:rPr>
          <w:rFonts w:eastAsia="Calibri"/>
          <w:lang w:val="es-MX"/>
        </w:rPr>
        <w:t>el concepto del enclave étnico</w:t>
      </w:r>
      <w:r w:rsidR="00077C7B">
        <w:rPr>
          <w:rFonts w:eastAsia="Calibri"/>
          <w:lang w:val="es-MX"/>
        </w:rPr>
        <w:t>,</w:t>
      </w:r>
      <w:r w:rsidR="00201823">
        <w:rPr>
          <w:rFonts w:eastAsia="Calibri"/>
          <w:lang w:val="es-MX"/>
        </w:rPr>
        <w:t xml:space="preserve"> incluyendo </w:t>
      </w:r>
      <w:r w:rsidR="005E3900">
        <w:rPr>
          <w:rFonts w:eastAsia="Calibri"/>
          <w:lang w:val="es-MX"/>
        </w:rPr>
        <w:t xml:space="preserve">la </w:t>
      </w:r>
      <w:r w:rsidR="00201823">
        <w:rPr>
          <w:rFonts w:eastAsia="Calibri"/>
          <w:lang w:val="es-MX"/>
        </w:rPr>
        <w:t xml:space="preserve">inmigración además del origen étnico. Portes (1987:291) </w:t>
      </w:r>
      <w:r w:rsidR="004D087F">
        <w:rPr>
          <w:rFonts w:eastAsia="Calibri"/>
          <w:lang w:val="es-MX"/>
        </w:rPr>
        <w:t>definió</w:t>
      </w:r>
      <w:r w:rsidR="00201823">
        <w:rPr>
          <w:rFonts w:eastAsia="Calibri"/>
          <w:lang w:val="es-MX"/>
        </w:rPr>
        <w:t xml:space="preserve"> la economía </w:t>
      </w:r>
      <w:r w:rsidR="004D087F">
        <w:rPr>
          <w:rFonts w:eastAsia="Calibri"/>
          <w:lang w:val="es-MX"/>
        </w:rPr>
        <w:t xml:space="preserve">del </w:t>
      </w:r>
      <w:r w:rsidR="00201823">
        <w:rPr>
          <w:rFonts w:eastAsia="Calibri"/>
          <w:lang w:val="es-MX"/>
        </w:rPr>
        <w:t>enclave</w:t>
      </w:r>
      <w:r w:rsidR="004D087F">
        <w:rPr>
          <w:rFonts w:eastAsia="Calibri"/>
          <w:lang w:val="es-MX"/>
        </w:rPr>
        <w:t xml:space="preserve"> como el  involucramiento</w:t>
      </w:r>
      <w:r w:rsidR="00201823">
        <w:rPr>
          <w:rFonts w:eastAsia="Calibri"/>
          <w:lang w:val="es-MX"/>
        </w:rPr>
        <w:t xml:space="preserve"> “</w:t>
      </w:r>
      <w:r w:rsidR="004D087F">
        <w:rPr>
          <w:rFonts w:eastAsia="Calibri"/>
          <w:lang w:val="es-MX"/>
        </w:rPr>
        <w:t xml:space="preserve">de </w:t>
      </w:r>
      <w:r w:rsidR="00201823">
        <w:rPr>
          <w:rFonts w:eastAsia="Calibri"/>
          <w:lang w:val="es-MX"/>
        </w:rPr>
        <w:t xml:space="preserve">grupos </w:t>
      </w:r>
      <w:r w:rsidR="004D087F">
        <w:rPr>
          <w:rFonts w:eastAsia="Calibri"/>
          <w:lang w:val="es-MX"/>
        </w:rPr>
        <w:t>de inmigrantes que</w:t>
      </w:r>
      <w:r w:rsidR="00201823">
        <w:rPr>
          <w:rFonts w:eastAsia="Calibri"/>
          <w:lang w:val="es-MX"/>
        </w:rPr>
        <w:t xml:space="preserve"> se concentran en una ubicación </w:t>
      </w:r>
      <w:r w:rsidR="002123F6">
        <w:rPr>
          <w:rFonts w:eastAsia="Calibri"/>
          <w:lang w:val="es-MX"/>
        </w:rPr>
        <w:t xml:space="preserve">de espacio distinta </w:t>
      </w:r>
      <w:r w:rsidR="00201823">
        <w:rPr>
          <w:rFonts w:eastAsia="Calibri"/>
          <w:lang w:val="es-MX"/>
        </w:rPr>
        <w:t xml:space="preserve">y organizan una variedad de </w:t>
      </w:r>
      <w:r w:rsidR="00077C7B">
        <w:rPr>
          <w:rFonts w:eastAsia="Calibri"/>
          <w:lang w:val="es-MX"/>
        </w:rPr>
        <w:t xml:space="preserve">negocios </w:t>
      </w:r>
      <w:r w:rsidR="00B92138">
        <w:rPr>
          <w:rFonts w:eastAsia="Calibri"/>
          <w:lang w:val="es-MX"/>
        </w:rPr>
        <w:t>que ofrecen</w:t>
      </w:r>
      <w:r w:rsidR="004D087F">
        <w:rPr>
          <w:rFonts w:eastAsia="Calibri"/>
          <w:lang w:val="es-MX"/>
        </w:rPr>
        <w:t xml:space="preserve"> servicio a</w:t>
      </w:r>
      <w:r w:rsidR="00201823">
        <w:rPr>
          <w:rFonts w:eastAsia="Calibri"/>
          <w:lang w:val="es-MX"/>
        </w:rPr>
        <w:t xml:space="preserve"> su </w:t>
      </w:r>
      <w:r w:rsidR="009837D6">
        <w:rPr>
          <w:rFonts w:eastAsia="Calibri"/>
          <w:lang w:val="es-MX"/>
        </w:rPr>
        <w:t>propio</w:t>
      </w:r>
      <w:r w:rsidR="00201823">
        <w:rPr>
          <w:rFonts w:eastAsia="Calibri"/>
          <w:lang w:val="es-MX"/>
        </w:rPr>
        <w:t xml:space="preserve"> mercado étnico y/o </w:t>
      </w:r>
      <w:r w:rsidR="004D087F">
        <w:rPr>
          <w:rFonts w:eastAsia="Calibri"/>
          <w:lang w:val="es-MX"/>
        </w:rPr>
        <w:t>a la población en general. Su</w:t>
      </w:r>
      <w:r w:rsidR="00201823">
        <w:rPr>
          <w:rFonts w:eastAsia="Calibri"/>
          <w:lang w:val="es-MX"/>
        </w:rPr>
        <w:t xml:space="preserve"> característica básica es que una </w:t>
      </w:r>
      <w:r w:rsidR="004D087F">
        <w:rPr>
          <w:rFonts w:eastAsia="Calibri"/>
          <w:lang w:val="es-MX"/>
        </w:rPr>
        <w:t>parte importante d</w:t>
      </w:r>
      <w:r w:rsidR="009716D7">
        <w:rPr>
          <w:rFonts w:eastAsia="Calibri"/>
          <w:lang w:val="es-MX"/>
        </w:rPr>
        <w:t>e la</w:t>
      </w:r>
      <w:r w:rsidR="002123F6">
        <w:rPr>
          <w:rFonts w:eastAsia="Calibri"/>
          <w:lang w:val="es-MX"/>
        </w:rPr>
        <w:t xml:space="preserve"> fuerza laboral inmigrante es empleada</w:t>
      </w:r>
      <w:r w:rsidR="009716D7">
        <w:rPr>
          <w:rFonts w:eastAsia="Calibri"/>
          <w:lang w:val="es-MX"/>
        </w:rPr>
        <w:t xml:space="preserve"> por empresas </w:t>
      </w:r>
      <w:r w:rsidR="009D2352">
        <w:rPr>
          <w:rFonts w:eastAsia="Calibri"/>
          <w:lang w:val="es-MX"/>
        </w:rPr>
        <w:t>propiedad de otros inmigrantes”.</w:t>
      </w:r>
      <w:r w:rsidR="009716D7">
        <w:rPr>
          <w:rFonts w:eastAsia="Calibri"/>
          <w:lang w:val="es-MX"/>
        </w:rPr>
        <w:t xml:space="preserve"> El </w:t>
      </w:r>
      <w:r w:rsidR="001D7C26" w:rsidRPr="001D7C26">
        <w:rPr>
          <w:rFonts w:eastAsia="Calibri"/>
          <w:lang w:val="es-MX"/>
        </w:rPr>
        <w:t>término de la economía del</w:t>
      </w:r>
      <w:r w:rsidR="00201823" w:rsidRPr="001D7C26">
        <w:rPr>
          <w:rFonts w:eastAsia="Calibri"/>
          <w:lang w:val="es-MX"/>
        </w:rPr>
        <w:t xml:space="preserve"> enclave étnico</w:t>
      </w:r>
      <w:r w:rsidR="009716D7" w:rsidRPr="001D7C26">
        <w:rPr>
          <w:rFonts w:eastAsia="Calibri"/>
          <w:lang w:val="es-MX"/>
        </w:rPr>
        <w:t xml:space="preserve"> ha </w:t>
      </w:r>
      <w:r w:rsidR="009716D7">
        <w:rPr>
          <w:rFonts w:eastAsia="Calibri"/>
          <w:lang w:val="es-MX"/>
        </w:rPr>
        <w:t xml:space="preserve">permanecido </w:t>
      </w:r>
      <w:r w:rsidR="001D7C26">
        <w:rPr>
          <w:rFonts w:eastAsia="Calibri"/>
          <w:lang w:val="es-MX"/>
        </w:rPr>
        <w:t xml:space="preserve">como una ventaja económica del grupo de la ubicación </w:t>
      </w:r>
      <w:r w:rsidR="00201823" w:rsidRPr="00201823">
        <w:rPr>
          <w:rFonts w:eastAsia="Calibri"/>
          <w:lang w:val="es-MX"/>
        </w:rPr>
        <w:t>(Light and Gold 2000),</w:t>
      </w:r>
      <w:r w:rsidR="00201823">
        <w:rPr>
          <w:rFonts w:eastAsia="Calibri"/>
          <w:lang w:val="es-MX"/>
        </w:rPr>
        <w:t xml:space="preserve"> incluyendo la protección de la discriminación </w:t>
      </w:r>
      <w:r w:rsidR="00201823" w:rsidRPr="00201823">
        <w:rPr>
          <w:rFonts w:eastAsia="Calibri"/>
          <w:lang w:val="es-MX"/>
        </w:rPr>
        <w:t>(Portes and Bach 1985; Zhou 1992).</w:t>
      </w:r>
      <w:r w:rsidR="00201823">
        <w:rPr>
          <w:rFonts w:eastAsia="Calibri"/>
          <w:lang w:val="es-MX"/>
        </w:rPr>
        <w:t xml:space="preserve"> </w:t>
      </w:r>
      <w:r w:rsidR="009716D7">
        <w:rPr>
          <w:rFonts w:eastAsia="Calibri"/>
          <w:lang w:val="es-MX"/>
        </w:rPr>
        <w:t xml:space="preserve">Los </w:t>
      </w:r>
      <w:r w:rsidR="00201823">
        <w:rPr>
          <w:rFonts w:eastAsia="Calibri"/>
          <w:lang w:val="es-MX"/>
        </w:rPr>
        <w:t xml:space="preserve">enclaves étnicos </w:t>
      </w:r>
      <w:r w:rsidR="009D2352">
        <w:rPr>
          <w:rFonts w:eastAsia="Calibri"/>
          <w:lang w:val="es-MX"/>
        </w:rPr>
        <w:t>en sí</w:t>
      </w:r>
      <w:r w:rsidR="009716D7">
        <w:rPr>
          <w:rFonts w:eastAsia="Calibri"/>
          <w:lang w:val="es-MX"/>
        </w:rPr>
        <w:t xml:space="preserve">, </w:t>
      </w:r>
      <w:r w:rsidR="00201823">
        <w:rPr>
          <w:rFonts w:eastAsia="Calibri"/>
          <w:lang w:val="es-MX"/>
        </w:rPr>
        <w:t xml:space="preserve">compensan las deficiencias de origen y la discriminación que los grupos étnicos enfrentan en </w:t>
      </w:r>
      <w:r w:rsidR="001D7C26">
        <w:rPr>
          <w:rFonts w:eastAsia="Calibri"/>
          <w:lang w:val="es-MX"/>
        </w:rPr>
        <w:t xml:space="preserve">el </w:t>
      </w:r>
      <w:r w:rsidR="009716D7">
        <w:rPr>
          <w:rFonts w:eastAsia="Calibri"/>
          <w:lang w:val="es-MX"/>
        </w:rPr>
        <w:t xml:space="preserve">mercado de mano de obra en general. </w:t>
      </w:r>
    </w:p>
    <w:p w14:paraId="2557CA88" w14:textId="42E6772F" w:rsidR="00ED0A4A" w:rsidRPr="00201823" w:rsidRDefault="00201823" w:rsidP="00ED0A4A">
      <w:pPr>
        <w:spacing w:line="480" w:lineRule="auto"/>
        <w:ind w:firstLine="720"/>
        <w:jc w:val="both"/>
        <w:rPr>
          <w:rFonts w:eastAsia="Calibri"/>
          <w:lang w:val="es-MX"/>
        </w:rPr>
      </w:pPr>
      <w:r w:rsidRPr="00201823">
        <w:rPr>
          <w:rFonts w:eastAsia="Calibri"/>
          <w:lang w:val="es-MX"/>
        </w:rPr>
        <w:lastRenderedPageBreak/>
        <w:t xml:space="preserve">En contraste, </w:t>
      </w:r>
      <w:r w:rsidR="00424362">
        <w:rPr>
          <w:rFonts w:eastAsia="Calibri"/>
          <w:lang w:val="es-MX"/>
        </w:rPr>
        <w:t xml:space="preserve">algunos luchan </w:t>
      </w:r>
      <w:r w:rsidR="009716D7">
        <w:rPr>
          <w:rFonts w:eastAsia="Calibri"/>
          <w:lang w:val="es-MX"/>
        </w:rPr>
        <w:t xml:space="preserve">contra </w:t>
      </w:r>
      <w:r w:rsidR="001D7C26">
        <w:rPr>
          <w:rFonts w:eastAsia="Calibri"/>
          <w:lang w:val="es-MX"/>
        </w:rPr>
        <w:t>las modalidades protectoras</w:t>
      </w:r>
      <w:r w:rsidR="00ED0A4A">
        <w:rPr>
          <w:rFonts w:eastAsia="Calibri"/>
          <w:lang w:val="es-MX"/>
        </w:rPr>
        <w:t xml:space="preserve"> de los enclaves étnicos. Se ha descubierto que los enclaves étnicos en particular, se encuentran en condiciones deprimentes del mercado laboral (por ejemplo,  </w:t>
      </w:r>
      <w:r w:rsidR="00ED0A4A" w:rsidRPr="00201823">
        <w:rPr>
          <w:rFonts w:eastAsia="Calibri"/>
          <w:lang w:val="es-MX"/>
        </w:rPr>
        <w:t>Sanders and Nee, 1987Chi</w:t>
      </w:r>
      <w:r w:rsidR="00424362">
        <w:rPr>
          <w:rFonts w:eastAsia="Calibri"/>
          <w:lang w:val="es-MX"/>
        </w:rPr>
        <w:t>n, 2005Schrover 2001 Sanders and</w:t>
      </w:r>
      <w:r w:rsidR="00ED0A4A" w:rsidRPr="00201823">
        <w:rPr>
          <w:rFonts w:eastAsia="Calibri"/>
          <w:lang w:val="es-MX"/>
        </w:rPr>
        <w:t xml:space="preserve"> Nee, 1987).  </w:t>
      </w:r>
      <w:r w:rsidR="00ED0A4A">
        <w:rPr>
          <w:rFonts w:eastAsia="Calibri"/>
          <w:lang w:val="es-MX"/>
        </w:rPr>
        <w:t xml:space="preserve">En el caso de los mexicanos y centroamericanos, en vez de una economía étnica controlada donde los trabajadores puedan ejercer poder </w:t>
      </w:r>
      <w:r w:rsidR="00ED0A4A" w:rsidRPr="00201823">
        <w:rPr>
          <w:rFonts w:eastAsia="Calibri"/>
          <w:lang w:val="es-MX"/>
        </w:rPr>
        <w:t>(Light and Gold, 2000),</w:t>
      </w:r>
      <w:r w:rsidR="00ED0A4A">
        <w:rPr>
          <w:rFonts w:eastAsia="Calibri"/>
          <w:lang w:val="es-MX"/>
        </w:rPr>
        <w:t xml:space="preserve"> los lugares de trabajo con coetnicidad concentrada se asocian con la desigualdad que se encuentra en el empleo segregado (Morales, 2009). De este modo, existe una fuerte evidencia que la agrupación de inmigrantes y minorías étnicas se relaciona con las características negativas de la segregación y </w:t>
      </w:r>
      <w:r w:rsidR="00424362">
        <w:rPr>
          <w:rFonts w:eastAsia="Calibri"/>
          <w:lang w:val="es-MX"/>
        </w:rPr>
        <w:t xml:space="preserve">de los </w:t>
      </w:r>
      <w:r w:rsidR="00ED0A4A">
        <w:rPr>
          <w:rFonts w:eastAsia="Calibri"/>
          <w:lang w:val="es-MX"/>
        </w:rPr>
        <w:t>vecindarios concentrados en desventaja.</w:t>
      </w:r>
    </w:p>
    <w:p w14:paraId="34018738" w14:textId="1E770FCE" w:rsidR="00ED0A4A" w:rsidRPr="004677D6" w:rsidRDefault="00ED0A4A" w:rsidP="00ED0A4A">
      <w:pPr>
        <w:spacing w:line="480" w:lineRule="auto"/>
        <w:ind w:firstLine="720"/>
        <w:jc w:val="both"/>
        <w:rPr>
          <w:rFonts w:eastAsia="Calibri"/>
          <w:lang w:val="es-MX"/>
        </w:rPr>
      </w:pPr>
      <w:r w:rsidRPr="004677D6">
        <w:rPr>
          <w:rFonts w:eastAsia="Calibri"/>
          <w:lang w:val="es-MX"/>
        </w:rPr>
        <w:t xml:space="preserve">Aunque los enclaves étnicos </w:t>
      </w:r>
      <w:r>
        <w:rPr>
          <w:rFonts w:eastAsia="Calibri"/>
          <w:lang w:val="es-MX"/>
        </w:rPr>
        <w:t>han llegado a interpreta</w:t>
      </w:r>
      <w:r w:rsidR="00424362">
        <w:rPr>
          <w:rFonts w:eastAsia="Calibri"/>
          <w:lang w:val="es-MX"/>
        </w:rPr>
        <w:t>r</w:t>
      </w:r>
      <w:r>
        <w:rPr>
          <w:rFonts w:eastAsia="Calibri"/>
          <w:lang w:val="es-MX"/>
        </w:rPr>
        <w:t xml:space="preserve">se más </w:t>
      </w:r>
      <w:r w:rsidRPr="004677D6">
        <w:rPr>
          <w:rFonts w:eastAsia="Calibri"/>
          <w:lang w:val="es-MX"/>
        </w:rPr>
        <w:t xml:space="preserve">ampliamente como agrupaciones de inmigrantes en vecindarios </w:t>
      </w:r>
      <w:r>
        <w:rPr>
          <w:rFonts w:eastAsia="Calibri"/>
          <w:lang w:val="es-MX"/>
        </w:rPr>
        <w:t xml:space="preserve">dentro de los centros urbanos </w:t>
      </w:r>
      <w:r>
        <w:rPr>
          <w:lang w:val="es-MX"/>
        </w:rPr>
        <w:t>(Waldinger y</w:t>
      </w:r>
      <w:r w:rsidRPr="004677D6">
        <w:rPr>
          <w:lang w:val="es-MX"/>
        </w:rPr>
        <w:t xml:space="preserve"> Bozorgmehr, 1996),</w:t>
      </w:r>
      <w:r>
        <w:rPr>
          <w:lang w:val="es-MX"/>
        </w:rPr>
        <w:t xml:space="preserve"> la mayor atención académica en los enclaves étnicos se ha concentrado en los resultados económicos con una limitada atención hacia como el hecho de vivir en un enclave puede influir en las interacciones con la aplicación de la ley. </w:t>
      </w:r>
      <w:r w:rsidRPr="00EA4425">
        <w:rPr>
          <w:lang w:val="es-MX"/>
        </w:rPr>
        <w:t>Sin embargo</w:t>
      </w:r>
      <w:r>
        <w:rPr>
          <w:lang w:val="es-MX"/>
        </w:rPr>
        <w:t>, existen indicios que los vecindarios latinos y de inmigrantes representan un blanco, por la presunta ilegalidad de sus residentes. El más notable es Romero (2006) quien encontró el Chandler Roundup en Arizona o la “Operación Restauración” donde el Departamento de Policía de Chandler en el condado de Maricopa en Arizona</w:t>
      </w:r>
      <w:r w:rsidR="003B50FF">
        <w:rPr>
          <w:lang w:val="es-MX"/>
        </w:rPr>
        <w:t xml:space="preserve"> se enfilaba en los residentes, </w:t>
      </w:r>
      <w:r>
        <w:rPr>
          <w:lang w:val="es-MX"/>
        </w:rPr>
        <w:t xml:space="preserve">por </w:t>
      </w:r>
      <w:r w:rsidR="003B50FF">
        <w:rPr>
          <w:lang w:val="es-MX"/>
        </w:rPr>
        <w:t>su</w:t>
      </w:r>
      <w:r>
        <w:rPr>
          <w:lang w:val="es-MX"/>
        </w:rPr>
        <w:t xml:space="preserve"> “mexicanidad”, por hablar español y estar en un vecindario latino. </w:t>
      </w:r>
    </w:p>
    <w:p w14:paraId="4453EA7C" w14:textId="42539955" w:rsidR="00ED0A4A" w:rsidRPr="004677D6" w:rsidRDefault="00ED0A4A" w:rsidP="00ED0A4A">
      <w:pPr>
        <w:spacing w:line="480" w:lineRule="auto"/>
        <w:jc w:val="both"/>
        <w:rPr>
          <w:rFonts w:eastAsia="Calibri"/>
          <w:lang w:val="es-MX"/>
        </w:rPr>
      </w:pPr>
      <w:r>
        <w:rPr>
          <w:rFonts w:eastAsia="Calibri"/>
          <w:lang w:val="es-MX"/>
        </w:rPr>
        <w:t xml:space="preserve">       </w:t>
      </w:r>
      <w:r w:rsidRPr="004677D6">
        <w:rPr>
          <w:rFonts w:eastAsia="Calibri"/>
          <w:lang w:val="es-MX"/>
        </w:rPr>
        <w:t xml:space="preserve">En resumen, </w:t>
      </w:r>
      <w:r w:rsidR="003B50FF">
        <w:rPr>
          <w:rFonts w:eastAsia="Calibri"/>
          <w:lang w:val="es-MX"/>
        </w:rPr>
        <w:t xml:space="preserve">aunque </w:t>
      </w:r>
      <w:r w:rsidRPr="004677D6">
        <w:rPr>
          <w:rFonts w:eastAsia="Calibri"/>
          <w:lang w:val="es-MX"/>
        </w:rPr>
        <w:t xml:space="preserve">existe una </w:t>
      </w:r>
      <w:r>
        <w:rPr>
          <w:rFonts w:eastAsia="Calibri"/>
          <w:lang w:val="es-MX"/>
        </w:rPr>
        <w:t>limitada atención hacia</w:t>
      </w:r>
      <w:r w:rsidRPr="004677D6">
        <w:rPr>
          <w:rFonts w:eastAsia="Calibri"/>
          <w:lang w:val="es-MX"/>
        </w:rPr>
        <w:t xml:space="preserve"> los vecindarios étnicos y</w:t>
      </w:r>
      <w:r>
        <w:rPr>
          <w:rFonts w:eastAsia="Calibri"/>
          <w:lang w:val="es-MX"/>
        </w:rPr>
        <w:t xml:space="preserve"> de  inmigrantes ya que los residentes están más propensos a ser cuestionados por las agencias </w:t>
      </w:r>
      <w:r w:rsidR="003B50FF">
        <w:rPr>
          <w:rFonts w:eastAsia="Calibri"/>
          <w:lang w:val="es-MX"/>
        </w:rPr>
        <w:t>policiacas sobre</w:t>
      </w:r>
      <w:r>
        <w:rPr>
          <w:rFonts w:eastAsia="Calibri"/>
          <w:lang w:val="es-MX"/>
        </w:rPr>
        <w:t xml:space="preserve"> su estatus de ciudadanía, nosotros podemos concluir </w:t>
      </w:r>
      <w:r w:rsidR="003B50FF">
        <w:rPr>
          <w:rFonts w:eastAsia="Calibri"/>
          <w:lang w:val="es-MX"/>
        </w:rPr>
        <w:t xml:space="preserve">algunas </w:t>
      </w:r>
      <w:r>
        <w:rPr>
          <w:rFonts w:eastAsia="Calibri"/>
          <w:lang w:val="es-MX"/>
        </w:rPr>
        <w:t>ideas importantes de la literatura antes mencionada. Primero,</w:t>
      </w:r>
      <w:r w:rsidR="003B50FF">
        <w:rPr>
          <w:rFonts w:eastAsia="Calibri"/>
          <w:lang w:val="es-MX"/>
        </w:rPr>
        <w:t xml:space="preserve"> la influencia por </w:t>
      </w:r>
      <w:r>
        <w:rPr>
          <w:rFonts w:eastAsia="Calibri"/>
          <w:lang w:val="es-MX"/>
        </w:rPr>
        <w:t xml:space="preserve">vivir en vecindarios pobres donde la </w:t>
      </w:r>
      <w:r>
        <w:rPr>
          <w:rFonts w:eastAsia="Calibri"/>
          <w:lang w:val="es-MX"/>
        </w:rPr>
        <w:lastRenderedPageBreak/>
        <w:t>vigilancia policiaca se ha enfocado en gran medida en las experiencias de personas de color  en áreas urbanas sujetas a una variedad de efectos negativos asociados con una desproporcionada criminalización.</w:t>
      </w:r>
      <w:r w:rsidR="003B50FF">
        <w:rPr>
          <w:rFonts w:eastAsia="Calibri"/>
          <w:lang w:val="es-MX"/>
        </w:rPr>
        <w:t xml:space="preserve"> </w:t>
      </w:r>
      <w:r w:rsidRPr="004677D6">
        <w:rPr>
          <w:rFonts w:eastAsia="Calibri"/>
          <w:lang w:val="es-MX"/>
        </w:rPr>
        <w:t>Segundo</w:t>
      </w:r>
      <w:r>
        <w:rPr>
          <w:rFonts w:eastAsia="Calibri"/>
          <w:lang w:val="es-MX"/>
        </w:rPr>
        <w:t xml:space="preserve">, existe una gama de evidencias </w:t>
      </w:r>
      <w:r w:rsidR="003B50FF">
        <w:rPr>
          <w:rFonts w:eastAsia="Calibri"/>
          <w:lang w:val="es-MX"/>
        </w:rPr>
        <w:t xml:space="preserve">sobre si </w:t>
      </w:r>
      <w:r>
        <w:rPr>
          <w:rFonts w:eastAsia="Calibri"/>
          <w:lang w:val="es-MX"/>
        </w:rPr>
        <w:t>los vecindarios étnicos y de inmigrantes se asocian con las desventajas o protecciones sociales. Tercero, existe alguna evidencia que la vigilancia migratoria local está asociada con una vigilancia excesiva de vecindarios latinos y de inmigrantes (Romero, 2006)</w:t>
      </w:r>
    </w:p>
    <w:p w14:paraId="62576A37" w14:textId="2377E774" w:rsidR="00ED0A4A" w:rsidRPr="002C2B6D" w:rsidRDefault="00ED0A4A" w:rsidP="00ED0A4A">
      <w:pPr>
        <w:spacing w:line="480" w:lineRule="auto"/>
        <w:jc w:val="both"/>
        <w:rPr>
          <w:rFonts w:eastAsia="Calibri"/>
          <w:lang w:val="es-MX"/>
        </w:rPr>
      </w:pPr>
      <w:r w:rsidRPr="002C2B6D">
        <w:rPr>
          <w:rFonts w:eastAsia="Calibri"/>
          <w:lang w:val="es-MX"/>
        </w:rPr>
        <w:t>DAT</w:t>
      </w:r>
      <w:r w:rsidR="003B50FF">
        <w:rPr>
          <w:rFonts w:eastAsia="Calibri"/>
          <w:lang w:val="es-MX"/>
        </w:rPr>
        <w:t>OS Y METODOS</w:t>
      </w:r>
      <w:r w:rsidRPr="002C2B6D">
        <w:rPr>
          <w:rFonts w:eastAsia="Calibri"/>
          <w:lang w:val="es-MX"/>
        </w:rPr>
        <w:t xml:space="preserve">  </w:t>
      </w:r>
    </w:p>
    <w:p w14:paraId="4E92B1A5" w14:textId="77777777" w:rsidR="00ED0A4A" w:rsidRPr="002C2B6D" w:rsidRDefault="00ED0A4A" w:rsidP="00ED0A4A">
      <w:pPr>
        <w:spacing w:line="480" w:lineRule="auto"/>
        <w:jc w:val="both"/>
        <w:rPr>
          <w:u w:val="single"/>
          <w:lang w:val="es-MX"/>
        </w:rPr>
      </w:pPr>
      <w:r w:rsidRPr="002C2B6D">
        <w:rPr>
          <w:u w:val="single"/>
          <w:lang w:val="es-MX"/>
        </w:rPr>
        <w:t xml:space="preserve">Muestra </w:t>
      </w:r>
    </w:p>
    <w:p w14:paraId="6CB5F5D5" w14:textId="36DC99A0" w:rsidR="00ED0A4A" w:rsidRPr="00934C93" w:rsidRDefault="00ED0A4A" w:rsidP="00ED0A4A">
      <w:pPr>
        <w:spacing w:line="480" w:lineRule="auto"/>
        <w:ind w:firstLine="720"/>
        <w:jc w:val="both"/>
        <w:rPr>
          <w:lang w:val="es-MX"/>
        </w:rPr>
      </w:pPr>
      <w:r w:rsidRPr="00934C93">
        <w:rPr>
          <w:lang w:val="es-MX"/>
        </w:rPr>
        <w:t>Este estudio se basa en</w:t>
      </w:r>
      <w:r>
        <w:rPr>
          <w:lang w:val="es-MX"/>
        </w:rPr>
        <w:t xml:space="preserve"> información básica que se integra de 46 grupos de vecindarios y 677 encuestas individuales. Nuestro diseño de muestra sigue el </w:t>
      </w:r>
      <w:r w:rsidR="000C623C">
        <w:rPr>
          <w:lang w:val="es-MX"/>
        </w:rPr>
        <w:t xml:space="preserve">componente de la  Encuesta Comunitaria </w:t>
      </w:r>
      <w:r>
        <w:rPr>
          <w:lang w:val="es-MX"/>
        </w:rPr>
        <w:t xml:space="preserve">de Robert Sampon’s and Associates (1977) del </w:t>
      </w:r>
      <w:r w:rsidR="000C623C">
        <w:rPr>
          <w:i/>
          <w:lang w:val="es-MX"/>
        </w:rPr>
        <w:t>Proyecto sobre el</w:t>
      </w:r>
      <w:r w:rsidRPr="000C623C">
        <w:rPr>
          <w:i/>
          <w:lang w:val="es-MX"/>
        </w:rPr>
        <w:t xml:space="preserve"> Desarrollo Humano para los Vecindarios de Chicago </w:t>
      </w:r>
      <w:r>
        <w:rPr>
          <w:lang w:val="es-MX"/>
        </w:rPr>
        <w:t>(PHDCN, por sus siglas en inglés)</w:t>
      </w:r>
      <w:r w:rsidRPr="00C40363">
        <w:rPr>
          <w:lang w:val="es-MX"/>
        </w:rPr>
        <w:t>.</w:t>
      </w:r>
      <w:r>
        <w:rPr>
          <w:lang w:val="es-MX"/>
        </w:rPr>
        <w:t xml:space="preserve"> Nosotros operamos los vecindarios agregando las áreas del censo que son similares en términos de información geográfica (tales como interestatales, carreteras y otros puntos importantes), indicadores demográficos y económicos de la Encuesta de Comunidad Norteamericana (ACS, por sus siglas en inglés) (2015) de 5 años (2008-2012) de áreas</w:t>
      </w:r>
      <w:r w:rsidRPr="000C623C">
        <w:rPr>
          <w:lang w:val="es-MX"/>
        </w:rPr>
        <w:t xml:space="preserve"> del censo sobre economía, nacidos en el extranjero, idioma</w:t>
      </w:r>
      <w:r w:rsidR="000C623C" w:rsidRPr="000C623C">
        <w:rPr>
          <w:lang w:val="es-MX"/>
        </w:rPr>
        <w:t xml:space="preserve"> y latinos</w:t>
      </w:r>
      <w:r w:rsidRPr="000C623C">
        <w:rPr>
          <w:lang w:val="es-MX"/>
        </w:rPr>
        <w:t xml:space="preserve"> y una evaluación etnográfica rápida donde obtenemos información de las calles acerca de si las áreas </w:t>
      </w:r>
      <w:r>
        <w:rPr>
          <w:lang w:val="es-MX"/>
        </w:rPr>
        <w:t>del censo deben ser consideradas vecindari</w:t>
      </w:r>
      <w:r w:rsidR="000C623C">
        <w:rPr>
          <w:lang w:val="es-MX"/>
        </w:rPr>
        <w:t>os independientes o unidos con</w:t>
      </w:r>
      <w:r>
        <w:rPr>
          <w:lang w:val="es-MX"/>
        </w:rPr>
        <w:t xml:space="preserve"> áreas de censos vecinos. Entonces seleccionamos </w:t>
      </w:r>
      <w:r w:rsidR="00435FD5">
        <w:rPr>
          <w:lang w:val="es-MX"/>
        </w:rPr>
        <w:t xml:space="preserve">aleatoriamente </w:t>
      </w:r>
      <w:r>
        <w:rPr>
          <w:lang w:val="es-MX"/>
        </w:rPr>
        <w:t>agrupac</w:t>
      </w:r>
      <w:r w:rsidR="000C623C">
        <w:rPr>
          <w:lang w:val="es-MX"/>
        </w:rPr>
        <w:t>iones</w:t>
      </w:r>
      <w:r>
        <w:rPr>
          <w:lang w:val="es-MX"/>
        </w:rPr>
        <w:t xml:space="preserve"> de vecindarios</w:t>
      </w:r>
      <w:r w:rsidR="000C623C">
        <w:rPr>
          <w:lang w:val="es-MX"/>
        </w:rPr>
        <w:t xml:space="preserve"> y escogi</w:t>
      </w:r>
      <w:r>
        <w:rPr>
          <w:lang w:val="es-MX"/>
        </w:rPr>
        <w:t xml:space="preserve">mos al azar 20 viviendas dentro de cada vecindario. </w:t>
      </w:r>
    </w:p>
    <w:p w14:paraId="1BA4E5FD" w14:textId="29953BF8" w:rsidR="00ED0A4A" w:rsidRPr="00A32F21" w:rsidRDefault="00ED0A4A" w:rsidP="00ED0A4A">
      <w:pPr>
        <w:spacing w:line="480" w:lineRule="auto"/>
        <w:ind w:firstLine="720"/>
        <w:jc w:val="both"/>
        <w:rPr>
          <w:rFonts w:eastAsia="Calibri"/>
          <w:lang w:val="es-MX"/>
        </w:rPr>
      </w:pPr>
      <w:r w:rsidRPr="00A32F21">
        <w:rPr>
          <w:rFonts w:eastAsia="Calibri"/>
          <w:lang w:val="es-MX"/>
        </w:rPr>
        <w:t xml:space="preserve">La información fue </w:t>
      </w:r>
      <w:r>
        <w:rPr>
          <w:rFonts w:eastAsia="Calibri"/>
          <w:lang w:val="es-MX"/>
        </w:rPr>
        <w:t>recabada entre marzo y a</w:t>
      </w:r>
      <w:r w:rsidRPr="00A32F21">
        <w:rPr>
          <w:rFonts w:eastAsia="Calibri"/>
          <w:lang w:val="es-MX"/>
        </w:rPr>
        <w:t xml:space="preserve">gosto del 2014 en El Paso, Texas. </w:t>
      </w:r>
      <w:r>
        <w:rPr>
          <w:rFonts w:eastAsia="Calibri"/>
          <w:lang w:val="es-MX"/>
        </w:rPr>
        <w:t xml:space="preserve">Una vez que fue seleccionada al azar, enviamos una carta avisando por correo a nuestros encuestados que su vivienda había sido seleccionada </w:t>
      </w:r>
      <w:r w:rsidR="00435FD5">
        <w:rPr>
          <w:rFonts w:eastAsia="Calibri"/>
          <w:lang w:val="es-MX"/>
        </w:rPr>
        <w:t xml:space="preserve">aleatoriamente </w:t>
      </w:r>
      <w:r>
        <w:rPr>
          <w:rFonts w:eastAsia="Calibri"/>
          <w:lang w:val="es-MX"/>
        </w:rPr>
        <w:t xml:space="preserve">para participar en el estudio y les </w:t>
      </w:r>
      <w:r>
        <w:rPr>
          <w:rFonts w:eastAsia="Calibri"/>
          <w:lang w:val="es-MX"/>
        </w:rPr>
        <w:lastRenderedPageBreak/>
        <w:t xml:space="preserve">preguntamos si deseaban participar de manera voluntaria. A los encuestados se les dio la opción de llamarnos o de programar una cita o que uno de nuestros asistentes de investigación visitara su vivienda en los próximos 3 a 4 días para realizar la entrevista o programar una cita. Se les pagó $20.00 dólares a los encuestados por participar en el estudio. </w:t>
      </w:r>
    </w:p>
    <w:p w14:paraId="499E129B" w14:textId="79AC60E4" w:rsidR="00263A82" w:rsidRPr="002C2B6D" w:rsidRDefault="00263A82" w:rsidP="00F0717A">
      <w:pPr>
        <w:spacing w:line="480" w:lineRule="auto"/>
        <w:jc w:val="both"/>
        <w:rPr>
          <w:rFonts w:eastAsia="Calibri"/>
          <w:u w:val="single"/>
          <w:lang w:val="es-MX"/>
        </w:rPr>
      </w:pPr>
      <w:r w:rsidRPr="002C2B6D">
        <w:rPr>
          <w:rFonts w:eastAsia="Calibri"/>
          <w:u w:val="single"/>
          <w:lang w:val="es-MX"/>
        </w:rPr>
        <w:t>Context</w:t>
      </w:r>
      <w:r w:rsidR="00934C93" w:rsidRPr="002C2B6D">
        <w:rPr>
          <w:rFonts w:eastAsia="Calibri"/>
          <w:u w:val="single"/>
          <w:lang w:val="es-MX"/>
        </w:rPr>
        <w:t>o</w:t>
      </w:r>
    </w:p>
    <w:p w14:paraId="04E0CDF2" w14:textId="38D0ABC2" w:rsidR="00B427A5" w:rsidRPr="00A32F21" w:rsidRDefault="00A32F21" w:rsidP="00F0717A">
      <w:pPr>
        <w:spacing w:line="480" w:lineRule="auto"/>
        <w:ind w:firstLine="720"/>
        <w:jc w:val="both"/>
        <w:rPr>
          <w:rFonts w:eastAsia="Calibri"/>
          <w:lang w:val="es-MX"/>
        </w:rPr>
      </w:pPr>
      <w:r w:rsidRPr="00A32F21">
        <w:rPr>
          <w:rFonts w:eastAsia="Calibri"/>
          <w:lang w:val="es-MX"/>
        </w:rPr>
        <w:t xml:space="preserve">Este </w:t>
      </w:r>
      <w:r>
        <w:rPr>
          <w:rFonts w:eastAsia="Calibri"/>
          <w:lang w:val="es-MX"/>
        </w:rPr>
        <w:t>es</w:t>
      </w:r>
      <w:r w:rsidR="00135862">
        <w:rPr>
          <w:rFonts w:eastAsia="Calibri"/>
          <w:lang w:val="es-MX"/>
        </w:rPr>
        <w:t>tudio está basado en</w:t>
      </w:r>
      <w:r w:rsidRPr="00A32F21">
        <w:rPr>
          <w:rFonts w:eastAsia="Calibri"/>
          <w:lang w:val="es-MX"/>
        </w:rPr>
        <w:t xml:space="preserve"> El Paso, Texas </w:t>
      </w:r>
      <w:r w:rsidR="00135862">
        <w:rPr>
          <w:rFonts w:eastAsia="Calibri"/>
          <w:lang w:val="es-MX"/>
        </w:rPr>
        <w:t xml:space="preserve">que se ubica  en la frontera </w:t>
      </w:r>
      <w:r w:rsidRPr="00A32F21">
        <w:rPr>
          <w:rFonts w:eastAsia="Calibri"/>
          <w:lang w:val="es-MX"/>
        </w:rPr>
        <w:t>Estados Unidos</w:t>
      </w:r>
      <w:r w:rsidR="00135862">
        <w:rPr>
          <w:rFonts w:eastAsia="Calibri"/>
          <w:lang w:val="es-MX"/>
        </w:rPr>
        <w:t>-</w:t>
      </w:r>
      <w:r w:rsidR="00BB4341">
        <w:rPr>
          <w:rFonts w:eastAsia="Calibri"/>
          <w:lang w:val="es-MX"/>
        </w:rPr>
        <w:t>México</w:t>
      </w:r>
      <w:r w:rsidR="00135862">
        <w:rPr>
          <w:rFonts w:eastAsia="Calibri"/>
          <w:lang w:val="es-MX"/>
        </w:rPr>
        <w:t xml:space="preserve"> y </w:t>
      </w:r>
      <w:r w:rsidR="00EE3412">
        <w:rPr>
          <w:rFonts w:eastAsia="Calibri"/>
          <w:lang w:val="es-MX"/>
        </w:rPr>
        <w:t xml:space="preserve">es </w:t>
      </w:r>
      <w:r w:rsidRPr="00A32F21">
        <w:rPr>
          <w:rFonts w:eastAsia="Calibri"/>
          <w:lang w:val="es-MX"/>
        </w:rPr>
        <w:t>ciudad hermana de Ciudad Juárez, Chihuahua, México. El Paso representa un lugar ideal</w:t>
      </w:r>
      <w:r w:rsidR="00135862">
        <w:rPr>
          <w:rFonts w:eastAsia="Calibri"/>
          <w:lang w:val="es-MX"/>
        </w:rPr>
        <w:t xml:space="preserve"> para realizar este estudio sobre las percepciones de ilegalidad de </w:t>
      </w:r>
      <w:r w:rsidR="00BB4341">
        <w:rPr>
          <w:rFonts w:eastAsia="Calibri"/>
          <w:lang w:val="es-MX"/>
        </w:rPr>
        <w:t>ciudadanía</w:t>
      </w:r>
      <w:r w:rsidR="00135862">
        <w:rPr>
          <w:rFonts w:eastAsia="Calibri"/>
          <w:lang w:val="es-MX"/>
        </w:rPr>
        <w:t xml:space="preserve"> </w:t>
      </w:r>
      <w:r w:rsidR="00BB4341">
        <w:rPr>
          <w:rFonts w:eastAsia="Calibri"/>
          <w:lang w:val="es-MX"/>
        </w:rPr>
        <w:t>dado</w:t>
      </w:r>
      <w:r w:rsidR="00135862">
        <w:rPr>
          <w:rFonts w:eastAsia="Calibri"/>
          <w:lang w:val="es-MX"/>
        </w:rPr>
        <w:t xml:space="preserve"> que el censo de E.U</w:t>
      </w:r>
      <w:r w:rsidR="00A3113E">
        <w:rPr>
          <w:rFonts w:eastAsia="Calibri"/>
          <w:lang w:val="es-MX"/>
        </w:rPr>
        <w:t>.</w:t>
      </w:r>
      <w:r w:rsidR="00135862">
        <w:rPr>
          <w:rFonts w:eastAsia="Calibri"/>
          <w:lang w:val="es-MX"/>
        </w:rPr>
        <w:t xml:space="preserve"> estima que el 25.5%</w:t>
      </w:r>
      <w:r w:rsidR="00CB1250">
        <w:rPr>
          <w:rFonts w:eastAsia="Calibri"/>
          <w:lang w:val="es-MX"/>
        </w:rPr>
        <w:t xml:space="preserve"> de la población </w:t>
      </w:r>
      <w:r w:rsidR="00981C79">
        <w:rPr>
          <w:rFonts w:eastAsia="Calibri"/>
          <w:lang w:val="es-MX"/>
        </w:rPr>
        <w:t xml:space="preserve">nació </w:t>
      </w:r>
      <w:r w:rsidR="00135862">
        <w:rPr>
          <w:rFonts w:eastAsia="Calibri"/>
          <w:lang w:val="es-MX"/>
        </w:rPr>
        <w:t>en el</w:t>
      </w:r>
      <w:r>
        <w:rPr>
          <w:rFonts w:eastAsia="Calibri"/>
          <w:lang w:val="es-MX"/>
        </w:rPr>
        <w:t xml:space="preserve"> extranjero y el 82.2</w:t>
      </w:r>
      <w:r w:rsidR="00BB4341">
        <w:rPr>
          <w:rFonts w:eastAsia="Calibri"/>
          <w:lang w:val="es-MX"/>
        </w:rPr>
        <w:t xml:space="preserve"> %</w:t>
      </w:r>
      <w:r>
        <w:rPr>
          <w:rFonts w:eastAsia="Calibri"/>
          <w:lang w:val="es-MX"/>
        </w:rPr>
        <w:t xml:space="preserve"> </w:t>
      </w:r>
      <w:r w:rsidR="00CB1250">
        <w:rPr>
          <w:rFonts w:eastAsia="Calibri"/>
          <w:lang w:val="es-MX"/>
        </w:rPr>
        <w:t>es latina</w:t>
      </w:r>
      <w:r w:rsidR="00BB4341">
        <w:rPr>
          <w:rFonts w:eastAsia="Calibri"/>
          <w:lang w:val="es-MX"/>
        </w:rPr>
        <w:t xml:space="preserve"> (de los cuales</w:t>
      </w:r>
      <w:r>
        <w:rPr>
          <w:rFonts w:eastAsia="Calibri"/>
          <w:lang w:val="es-MX"/>
        </w:rPr>
        <w:t xml:space="preserve"> el 76.6</w:t>
      </w:r>
      <w:r w:rsidR="00BB4341">
        <w:rPr>
          <w:rFonts w:eastAsia="Calibri"/>
          <w:lang w:val="es-MX"/>
        </w:rPr>
        <w:t xml:space="preserve"> %</w:t>
      </w:r>
      <w:r>
        <w:rPr>
          <w:rFonts w:eastAsia="Calibri"/>
          <w:lang w:val="es-MX"/>
        </w:rPr>
        <w:t xml:space="preserve"> </w:t>
      </w:r>
      <w:r w:rsidR="00BB4341">
        <w:rPr>
          <w:rFonts w:eastAsia="Calibri"/>
          <w:lang w:val="es-MX"/>
        </w:rPr>
        <w:t xml:space="preserve">es de origen mexicano). </w:t>
      </w:r>
      <w:r w:rsidR="00CB1250">
        <w:rPr>
          <w:rFonts w:eastAsia="Calibri"/>
          <w:lang w:val="es-MX"/>
        </w:rPr>
        <w:t>Aún</w:t>
      </w:r>
      <w:r w:rsidR="00BB4341">
        <w:rPr>
          <w:rFonts w:eastAsia="Calibri"/>
          <w:lang w:val="es-MX"/>
        </w:rPr>
        <w:t xml:space="preserve"> m</w:t>
      </w:r>
      <w:r w:rsidR="00CB1250">
        <w:rPr>
          <w:rFonts w:eastAsia="Calibri"/>
          <w:lang w:val="es-MX"/>
        </w:rPr>
        <w:t>á</w:t>
      </w:r>
      <w:r w:rsidR="00BB4341">
        <w:rPr>
          <w:rFonts w:eastAsia="Calibri"/>
          <w:lang w:val="es-MX"/>
        </w:rPr>
        <w:t>s</w:t>
      </w:r>
      <w:r>
        <w:rPr>
          <w:rFonts w:eastAsia="Calibri"/>
          <w:lang w:val="es-MX"/>
        </w:rPr>
        <w:t>,</w:t>
      </w:r>
      <w:r w:rsidR="00BB4341">
        <w:rPr>
          <w:rFonts w:eastAsia="Calibri"/>
          <w:lang w:val="es-MX"/>
        </w:rPr>
        <w:t xml:space="preserve"> congruente </w:t>
      </w:r>
      <w:r w:rsidR="00CB1250">
        <w:rPr>
          <w:rFonts w:eastAsia="Calibri"/>
          <w:lang w:val="es-MX"/>
        </w:rPr>
        <w:t>con la p</w:t>
      </w:r>
      <w:r w:rsidR="00BB4341">
        <w:rPr>
          <w:rFonts w:eastAsia="Calibri"/>
          <w:lang w:val="es-MX"/>
        </w:rPr>
        <w:t>ara</w:t>
      </w:r>
      <w:r w:rsidR="00CB1250">
        <w:rPr>
          <w:rFonts w:eastAsia="Calibri"/>
          <w:lang w:val="es-MX"/>
        </w:rPr>
        <w:t>doja de la delincuencia de los i</w:t>
      </w:r>
      <w:r w:rsidR="00BB4341">
        <w:rPr>
          <w:rFonts w:eastAsia="Calibri"/>
          <w:lang w:val="es-MX"/>
        </w:rPr>
        <w:t>nmigrantes</w:t>
      </w:r>
      <w:r>
        <w:rPr>
          <w:rFonts w:eastAsia="Calibri"/>
          <w:lang w:val="es-MX"/>
        </w:rPr>
        <w:t xml:space="preserve"> </w:t>
      </w:r>
      <w:r w:rsidR="00CB1250">
        <w:rPr>
          <w:rFonts w:eastAsia="Calibri"/>
          <w:lang w:val="es-MX"/>
        </w:rPr>
        <w:t xml:space="preserve">latinos, </w:t>
      </w:r>
      <w:r>
        <w:rPr>
          <w:rFonts w:eastAsia="Calibri"/>
          <w:lang w:val="es-MX"/>
        </w:rPr>
        <w:t xml:space="preserve">El Paso ha sido </w:t>
      </w:r>
      <w:r w:rsidR="00981C79">
        <w:rPr>
          <w:rFonts w:eastAsia="Calibri"/>
          <w:lang w:val="es-MX"/>
        </w:rPr>
        <w:t>clasificada</w:t>
      </w:r>
      <w:r w:rsidR="00BB4341">
        <w:rPr>
          <w:rFonts w:eastAsia="Calibri"/>
          <w:lang w:val="es-MX"/>
        </w:rPr>
        <w:t xml:space="preserve"> como el área más segura o entre las áreas </w:t>
      </w:r>
      <w:r w:rsidR="00981C79">
        <w:rPr>
          <w:rFonts w:eastAsia="Calibri"/>
          <w:lang w:val="es-MX"/>
        </w:rPr>
        <w:t xml:space="preserve">estadísticas </w:t>
      </w:r>
      <w:r w:rsidR="00BB4341">
        <w:rPr>
          <w:rFonts w:eastAsia="Calibri"/>
          <w:lang w:val="es-MX"/>
        </w:rPr>
        <w:t>metropolitanas más seguras de los E.U</w:t>
      </w:r>
      <w:r w:rsidR="00A3113E">
        <w:rPr>
          <w:rFonts w:eastAsia="Calibri"/>
          <w:lang w:val="es-MX"/>
        </w:rPr>
        <w:t>.</w:t>
      </w:r>
      <w:r w:rsidR="00BB4341">
        <w:rPr>
          <w:rFonts w:eastAsia="Calibri"/>
          <w:lang w:val="es-MX"/>
        </w:rPr>
        <w:t xml:space="preserve"> </w:t>
      </w:r>
      <w:r w:rsidR="00CB1250">
        <w:rPr>
          <w:rFonts w:eastAsia="Calibri"/>
          <w:lang w:val="es-MX"/>
        </w:rPr>
        <w:t xml:space="preserve">en </w:t>
      </w:r>
      <w:r>
        <w:rPr>
          <w:rFonts w:eastAsia="Calibri"/>
          <w:lang w:val="es-MX"/>
        </w:rPr>
        <w:t>los últimos diez años (Borunda, 2013).</w:t>
      </w:r>
      <w:r w:rsidR="000C3782" w:rsidRPr="00A32F21">
        <w:rPr>
          <w:rFonts w:eastAsia="Calibri"/>
          <w:lang w:val="es-MX"/>
        </w:rPr>
        <w:t xml:space="preserve"> </w:t>
      </w:r>
    </w:p>
    <w:p w14:paraId="55D0A9FB" w14:textId="7450DD9E" w:rsidR="00A32F21" w:rsidRPr="001E7962" w:rsidRDefault="001E7962" w:rsidP="00F0717A">
      <w:pPr>
        <w:spacing w:line="480" w:lineRule="auto"/>
        <w:ind w:firstLine="720"/>
        <w:jc w:val="both"/>
        <w:rPr>
          <w:rFonts w:eastAsia="Calibri"/>
          <w:lang w:val="es-MX"/>
        </w:rPr>
      </w:pPr>
      <w:r w:rsidRPr="001E7962">
        <w:rPr>
          <w:rFonts w:eastAsia="Calibri"/>
          <w:lang w:val="es-MX"/>
        </w:rPr>
        <w:t xml:space="preserve">Como ciudad fronteriza, El Paso también está </w:t>
      </w:r>
      <w:r w:rsidR="00981C79" w:rsidRPr="001E7962">
        <w:rPr>
          <w:rFonts w:eastAsia="Calibri"/>
          <w:lang w:val="es-MX"/>
        </w:rPr>
        <w:t>sujeto</w:t>
      </w:r>
      <w:r w:rsidRPr="001E7962">
        <w:rPr>
          <w:rFonts w:eastAsia="Calibri"/>
          <w:lang w:val="es-MX"/>
        </w:rPr>
        <w:t xml:space="preserve"> a la</w:t>
      </w:r>
      <w:r w:rsidR="00BB4341">
        <w:rPr>
          <w:rFonts w:eastAsia="Calibri"/>
          <w:lang w:val="es-MX"/>
        </w:rPr>
        <w:t>s medidas policiacas de</w:t>
      </w:r>
      <w:r w:rsidRPr="001E7962">
        <w:rPr>
          <w:rFonts w:eastAsia="Calibri"/>
          <w:lang w:val="es-MX"/>
        </w:rPr>
        <w:t xml:space="preserve"> </w:t>
      </w:r>
      <w:r>
        <w:rPr>
          <w:rFonts w:eastAsia="Calibri"/>
          <w:lang w:val="es-MX"/>
        </w:rPr>
        <w:t xml:space="preserve">híper-vigilancia. En esta región, los residentes tienen encuentros frecuentes con </w:t>
      </w:r>
      <w:r w:rsidR="00FB6C59">
        <w:rPr>
          <w:rFonts w:eastAsia="Calibri"/>
          <w:lang w:val="es-MX"/>
        </w:rPr>
        <w:t xml:space="preserve">los </w:t>
      </w:r>
      <w:r>
        <w:rPr>
          <w:rFonts w:eastAsia="Calibri"/>
          <w:lang w:val="es-MX"/>
        </w:rPr>
        <w:t>agentes</w:t>
      </w:r>
      <w:r w:rsidR="00FB6C59">
        <w:rPr>
          <w:rFonts w:eastAsia="Calibri"/>
          <w:lang w:val="es-MX"/>
        </w:rPr>
        <w:t xml:space="preserve"> policiacos federales, en particular con la </w:t>
      </w:r>
      <w:r>
        <w:rPr>
          <w:rFonts w:eastAsia="Calibri"/>
          <w:lang w:val="es-MX"/>
        </w:rPr>
        <w:t xml:space="preserve">patrulla fronteriza. </w:t>
      </w:r>
      <w:r w:rsidRPr="001E7962">
        <w:rPr>
          <w:rFonts w:eastAsia="Calibri"/>
          <w:lang w:val="es-MX"/>
        </w:rPr>
        <w:t xml:space="preserve">De hecho, El Paso </w:t>
      </w:r>
      <w:r w:rsidR="00CB1250">
        <w:rPr>
          <w:rFonts w:eastAsia="Calibri"/>
          <w:lang w:val="es-MX"/>
        </w:rPr>
        <w:t xml:space="preserve">se ha </w:t>
      </w:r>
      <w:r w:rsidRPr="001E7962">
        <w:rPr>
          <w:rFonts w:eastAsia="Calibri"/>
          <w:lang w:val="es-MX"/>
        </w:rPr>
        <w:t>caracteriza</w:t>
      </w:r>
      <w:r>
        <w:rPr>
          <w:rFonts w:eastAsia="Calibri"/>
          <w:lang w:val="es-MX"/>
        </w:rPr>
        <w:t xml:space="preserve">do como una región de militarización </w:t>
      </w:r>
      <w:r w:rsidR="00A3113E">
        <w:rPr>
          <w:rFonts w:eastAsia="Calibri"/>
          <w:lang w:val="es-MX"/>
        </w:rPr>
        <w:t>debido</w:t>
      </w:r>
      <w:r w:rsidR="00FB6C59">
        <w:rPr>
          <w:rFonts w:eastAsia="Calibri"/>
          <w:lang w:val="es-MX"/>
        </w:rPr>
        <w:t xml:space="preserve"> </w:t>
      </w:r>
      <w:r w:rsidR="00CB1250">
        <w:rPr>
          <w:rFonts w:eastAsia="Calibri"/>
          <w:lang w:val="es-MX"/>
        </w:rPr>
        <w:t>a</w:t>
      </w:r>
      <w:r w:rsidR="00FB6C59">
        <w:rPr>
          <w:rFonts w:eastAsia="Calibri"/>
          <w:lang w:val="es-MX"/>
        </w:rPr>
        <w:t xml:space="preserve">l uso </w:t>
      </w:r>
      <w:r w:rsidR="00FB6C59" w:rsidRPr="00981C79">
        <w:rPr>
          <w:rFonts w:eastAsia="Calibri"/>
          <w:lang w:val="es-MX"/>
        </w:rPr>
        <w:t>de</w:t>
      </w:r>
      <w:r w:rsidR="00CB1250" w:rsidRPr="00981C79">
        <w:rPr>
          <w:rFonts w:eastAsia="Calibri"/>
          <w:lang w:val="es-MX"/>
        </w:rPr>
        <w:t>l</w:t>
      </w:r>
      <w:r w:rsidR="00FB6C59" w:rsidRPr="00981C79">
        <w:rPr>
          <w:rFonts w:eastAsia="Calibri"/>
          <w:lang w:val="es-MX"/>
        </w:rPr>
        <w:t xml:space="preserve"> </w:t>
      </w:r>
      <w:r w:rsidR="00CB1250" w:rsidRPr="00981C79">
        <w:rPr>
          <w:rFonts w:eastAsia="Calibri"/>
          <w:lang w:val="es-MX"/>
        </w:rPr>
        <w:t>discurso</w:t>
      </w:r>
      <w:r w:rsidR="00FB6C59" w:rsidRPr="00981C79">
        <w:rPr>
          <w:rFonts w:eastAsia="Calibri"/>
          <w:lang w:val="es-MX"/>
        </w:rPr>
        <w:t xml:space="preserve"> parecido al </w:t>
      </w:r>
      <w:r w:rsidR="00981C79" w:rsidRPr="00981C79">
        <w:rPr>
          <w:rFonts w:eastAsia="Calibri"/>
          <w:lang w:val="es-MX"/>
        </w:rPr>
        <w:t>de guerra, la</w:t>
      </w:r>
      <w:r w:rsidR="00FB6C59" w:rsidRPr="00981C79">
        <w:rPr>
          <w:rFonts w:eastAsia="Calibri"/>
          <w:lang w:val="es-MX"/>
        </w:rPr>
        <w:t xml:space="preserve"> tecnología e incluso el uso de personal militar como parte de las iniciativas de control fronteriza</w:t>
      </w:r>
      <w:r w:rsidRPr="00981C79">
        <w:rPr>
          <w:rFonts w:eastAsia="Calibri"/>
          <w:lang w:val="es-MX"/>
        </w:rPr>
        <w:t xml:space="preserve"> (Bejarano et </w:t>
      </w:r>
      <w:r w:rsidRPr="001E7962">
        <w:rPr>
          <w:rFonts w:eastAsia="Calibri"/>
          <w:lang w:val="es-MX"/>
        </w:rPr>
        <w:t xml:space="preserve">al., 2012).  </w:t>
      </w:r>
      <w:r>
        <w:rPr>
          <w:rFonts w:eastAsia="Calibri"/>
          <w:lang w:val="es-MX"/>
        </w:rPr>
        <w:t xml:space="preserve">Hoy en día, </w:t>
      </w:r>
      <w:r w:rsidR="00CB1250">
        <w:rPr>
          <w:rFonts w:eastAsia="Calibri"/>
          <w:lang w:val="es-MX"/>
        </w:rPr>
        <w:t>tales políticas</w:t>
      </w:r>
      <w:r w:rsidR="00FB6C59">
        <w:rPr>
          <w:rFonts w:eastAsia="Calibri"/>
          <w:lang w:val="es-MX"/>
        </w:rPr>
        <w:t xml:space="preserve"> </w:t>
      </w:r>
      <w:r>
        <w:rPr>
          <w:rFonts w:eastAsia="Calibri"/>
          <w:lang w:val="es-MX"/>
        </w:rPr>
        <w:t>legales y administrativas que se concentran en la</w:t>
      </w:r>
      <w:r w:rsidR="00CB1250">
        <w:rPr>
          <w:rFonts w:eastAsia="Calibri"/>
          <w:lang w:val="es-MX"/>
        </w:rPr>
        <w:t xml:space="preserve">s medidas de seguridad nacional y que </w:t>
      </w:r>
      <w:r>
        <w:rPr>
          <w:rFonts w:eastAsia="Calibri"/>
          <w:lang w:val="es-MX"/>
        </w:rPr>
        <w:t xml:space="preserve">incrementan la vigilancia </w:t>
      </w:r>
      <w:r w:rsidR="00FB6C59">
        <w:rPr>
          <w:rFonts w:eastAsia="Calibri"/>
          <w:lang w:val="es-MX"/>
        </w:rPr>
        <w:t xml:space="preserve">se han extendido al interior del país </w:t>
      </w:r>
      <w:r>
        <w:rPr>
          <w:rFonts w:eastAsia="Calibri"/>
          <w:lang w:val="es-MX"/>
        </w:rPr>
        <w:t xml:space="preserve">(Coleman </w:t>
      </w:r>
      <w:r w:rsidR="0086735E">
        <w:rPr>
          <w:lang w:val="es-MX"/>
        </w:rPr>
        <w:t>2007; De Genova y</w:t>
      </w:r>
      <w:r w:rsidRPr="001E7962">
        <w:rPr>
          <w:lang w:val="es-MX"/>
        </w:rPr>
        <w:t xml:space="preserve"> Peutz 2010; Provine and Sanchez, </w:t>
      </w:r>
      <w:r w:rsidR="0086735E">
        <w:rPr>
          <w:lang w:val="es-MX"/>
        </w:rPr>
        <w:t>2011; Salter 2004; Guiraudon y</w:t>
      </w:r>
      <w:r w:rsidRPr="001E7962">
        <w:rPr>
          <w:lang w:val="es-MX"/>
        </w:rPr>
        <w:t xml:space="preserve"> Lahav 2000</w:t>
      </w:r>
      <w:r w:rsidRPr="001E7962">
        <w:rPr>
          <w:rFonts w:eastAsia="Calibri"/>
          <w:lang w:val="es-MX"/>
        </w:rPr>
        <w:t>),</w:t>
      </w:r>
      <w:r w:rsidR="00981C79">
        <w:rPr>
          <w:rFonts w:eastAsia="Calibri"/>
          <w:lang w:val="es-MX"/>
        </w:rPr>
        <w:t xml:space="preserve"> co</w:t>
      </w:r>
      <w:r>
        <w:rPr>
          <w:rFonts w:eastAsia="Calibri"/>
          <w:lang w:val="es-MX"/>
        </w:rPr>
        <w:t xml:space="preserve">nvirtiendo </w:t>
      </w:r>
      <w:r w:rsidR="00981C79">
        <w:rPr>
          <w:rFonts w:eastAsia="Calibri"/>
          <w:lang w:val="es-MX"/>
        </w:rPr>
        <w:t xml:space="preserve">a </w:t>
      </w:r>
      <w:r>
        <w:rPr>
          <w:rFonts w:eastAsia="Calibri"/>
          <w:lang w:val="es-MX"/>
        </w:rPr>
        <w:t xml:space="preserve">la región </w:t>
      </w:r>
      <w:r w:rsidR="00FB6C59">
        <w:rPr>
          <w:rFonts w:eastAsia="Calibri"/>
          <w:lang w:val="es-MX"/>
        </w:rPr>
        <w:t xml:space="preserve">fronteriza </w:t>
      </w:r>
      <w:r w:rsidR="00CB1250">
        <w:rPr>
          <w:rFonts w:eastAsia="Calibri"/>
          <w:lang w:val="es-MX"/>
        </w:rPr>
        <w:t xml:space="preserve">en </w:t>
      </w:r>
      <w:r w:rsidR="00FB6C59">
        <w:rPr>
          <w:rFonts w:eastAsia="Calibri"/>
          <w:lang w:val="es-MX"/>
        </w:rPr>
        <w:t>un sitio importante para investigar c</w:t>
      </w:r>
      <w:r w:rsidR="00661DC2">
        <w:rPr>
          <w:rFonts w:eastAsia="Calibri"/>
          <w:lang w:val="es-MX"/>
        </w:rPr>
        <w:t>ó</w:t>
      </w:r>
      <w:r w:rsidR="00FB6C59">
        <w:rPr>
          <w:rFonts w:eastAsia="Calibri"/>
          <w:lang w:val="es-MX"/>
        </w:rPr>
        <w:t>mo las agencias policiacas han inc</w:t>
      </w:r>
      <w:r w:rsidR="00A3113E">
        <w:rPr>
          <w:rFonts w:eastAsia="Calibri"/>
          <w:lang w:val="es-MX"/>
        </w:rPr>
        <w:t>rementado la categorización a</w:t>
      </w:r>
      <w:r w:rsidR="00FB6C59">
        <w:rPr>
          <w:rFonts w:eastAsia="Calibri"/>
          <w:lang w:val="es-MX"/>
        </w:rPr>
        <w:t xml:space="preserve"> inmigrante indocumentado. </w:t>
      </w:r>
    </w:p>
    <w:p w14:paraId="57E51873" w14:textId="125FC3A7" w:rsidR="001E7962" w:rsidRPr="00A3113E" w:rsidRDefault="00FB6C59" w:rsidP="00F0717A">
      <w:pPr>
        <w:spacing w:line="480" w:lineRule="auto"/>
        <w:ind w:firstLine="720"/>
        <w:jc w:val="both"/>
        <w:rPr>
          <w:color w:val="FF0000"/>
          <w:lang w:val="es-MX"/>
        </w:rPr>
      </w:pPr>
      <w:r>
        <w:rPr>
          <w:lang w:val="es-MX"/>
        </w:rPr>
        <w:lastRenderedPageBreak/>
        <w:t>El Paso tampoco</w:t>
      </w:r>
      <w:r w:rsidR="00CB1250">
        <w:rPr>
          <w:lang w:val="es-MX"/>
        </w:rPr>
        <w:t xml:space="preserve"> tiene el </w:t>
      </w:r>
      <w:r w:rsidR="00661DC2">
        <w:rPr>
          <w:lang w:val="es-MX"/>
        </w:rPr>
        <w:t xml:space="preserve">Acuerdo </w:t>
      </w:r>
      <w:r w:rsidR="001E7962" w:rsidRPr="001E7962">
        <w:rPr>
          <w:lang w:val="es-MX"/>
        </w:rPr>
        <w:t>287(g) pero si pone en práctica</w:t>
      </w:r>
      <w:r w:rsidR="00C03420">
        <w:rPr>
          <w:lang w:val="es-MX"/>
        </w:rPr>
        <w:t xml:space="preserve"> el Programa </w:t>
      </w:r>
      <w:r w:rsidR="00CB1250">
        <w:rPr>
          <w:lang w:val="es-MX"/>
        </w:rPr>
        <w:t>Comunidades Seguras</w:t>
      </w:r>
      <w:r w:rsidR="00A3113E">
        <w:rPr>
          <w:lang w:val="es-MX"/>
        </w:rPr>
        <w:t>, conocido</w:t>
      </w:r>
      <w:r w:rsidR="001E7962" w:rsidRPr="001E7962">
        <w:rPr>
          <w:lang w:val="es-MX"/>
        </w:rPr>
        <w:t xml:space="preserve"> </w:t>
      </w:r>
      <w:r w:rsidR="00CB1250">
        <w:rPr>
          <w:lang w:val="es-MX"/>
        </w:rPr>
        <w:t>ho</w:t>
      </w:r>
      <w:r>
        <w:rPr>
          <w:lang w:val="es-MX"/>
        </w:rPr>
        <w:t xml:space="preserve">y como </w:t>
      </w:r>
      <w:r w:rsidR="001E7962" w:rsidRPr="001E7962">
        <w:rPr>
          <w:lang w:val="es-MX"/>
        </w:rPr>
        <w:t xml:space="preserve">PEP </w:t>
      </w:r>
      <w:r>
        <w:rPr>
          <w:lang w:val="es-MX"/>
        </w:rPr>
        <w:t>(por sus siglas en inglé</w:t>
      </w:r>
      <w:r w:rsidR="001E7962" w:rsidRPr="001E7962">
        <w:rPr>
          <w:lang w:val="es-MX"/>
        </w:rPr>
        <w:t xml:space="preserve">s). </w:t>
      </w:r>
      <w:r w:rsidR="004504C5">
        <w:rPr>
          <w:lang w:val="es-MX"/>
        </w:rPr>
        <w:t xml:space="preserve">Es importante </w:t>
      </w:r>
      <w:r w:rsidR="001E7962">
        <w:rPr>
          <w:lang w:val="es-MX"/>
        </w:rPr>
        <w:t xml:space="preserve"> enfatizar que </w:t>
      </w:r>
      <w:r w:rsidR="004504C5" w:rsidRPr="00C03420">
        <w:rPr>
          <w:lang w:val="es-MX"/>
        </w:rPr>
        <w:t>incluso</w:t>
      </w:r>
      <w:r w:rsidR="001E7962" w:rsidRPr="00C03420">
        <w:rPr>
          <w:lang w:val="es-MX"/>
        </w:rPr>
        <w:t xml:space="preserve"> la</w:t>
      </w:r>
      <w:r w:rsidR="004504C5" w:rsidRPr="00C03420">
        <w:rPr>
          <w:lang w:val="es-MX"/>
        </w:rPr>
        <w:t xml:space="preserve">s ciudades que se resisten a cooperar con los </w:t>
      </w:r>
      <w:r w:rsidR="001E7962" w:rsidRPr="00C03420">
        <w:rPr>
          <w:lang w:val="es-MX"/>
        </w:rPr>
        <w:t>esfue</w:t>
      </w:r>
      <w:r w:rsidR="004504C5" w:rsidRPr="00C03420">
        <w:rPr>
          <w:lang w:val="es-MX"/>
        </w:rPr>
        <w:t>rzos federales para involucrar la vigilancia local migratoria</w:t>
      </w:r>
      <w:r w:rsidR="00A3113E" w:rsidRPr="00C03420">
        <w:rPr>
          <w:lang w:val="es-MX"/>
        </w:rPr>
        <w:t>,</w:t>
      </w:r>
      <w:r w:rsidR="004504C5" w:rsidRPr="00C03420">
        <w:rPr>
          <w:lang w:val="es-MX"/>
        </w:rPr>
        <w:t xml:space="preserve"> </w:t>
      </w:r>
      <w:r w:rsidR="004504C5">
        <w:rPr>
          <w:lang w:val="es-MX"/>
        </w:rPr>
        <w:t xml:space="preserve">están expuestas al </w:t>
      </w:r>
      <w:r w:rsidR="00CB1250">
        <w:rPr>
          <w:lang w:val="es-MX"/>
        </w:rPr>
        <w:t>enfoque n</w:t>
      </w:r>
      <w:r w:rsidR="004504C5">
        <w:rPr>
          <w:lang w:val="es-MX"/>
        </w:rPr>
        <w:t xml:space="preserve">acional sobre la aplicación de la ley </w:t>
      </w:r>
      <w:r w:rsidR="001E7962">
        <w:rPr>
          <w:lang w:val="es-MX"/>
        </w:rPr>
        <w:t xml:space="preserve"> </w:t>
      </w:r>
      <w:r w:rsidR="001E7962" w:rsidRPr="001E7962">
        <w:rPr>
          <w:rFonts w:eastAsia="Calibri"/>
          <w:lang w:val="es-MX"/>
        </w:rPr>
        <w:t>(Provine et al. 2016</w:t>
      </w:r>
      <w:r w:rsidR="001E7962" w:rsidRPr="005D13B6">
        <w:rPr>
          <w:rFonts w:eastAsia="Calibri"/>
          <w:lang w:val="es-MX"/>
        </w:rPr>
        <w:t>).  Además, aunque</w:t>
      </w:r>
      <w:r w:rsidR="004504C5">
        <w:rPr>
          <w:rFonts w:eastAsia="Calibri"/>
          <w:lang w:val="es-MX"/>
        </w:rPr>
        <w:t xml:space="preserve"> la mayoría de la literatura sobre </w:t>
      </w:r>
      <w:r w:rsidR="001E7962" w:rsidRPr="001E7962">
        <w:rPr>
          <w:rFonts w:eastAsia="Calibri"/>
          <w:lang w:val="es-MX"/>
        </w:rPr>
        <w:t xml:space="preserve">vigilancia policiaca </w:t>
      </w:r>
      <w:r w:rsidR="00CB1250">
        <w:rPr>
          <w:rFonts w:eastAsia="Calibri"/>
          <w:lang w:val="es-MX"/>
        </w:rPr>
        <w:t xml:space="preserve">migratoria </w:t>
      </w:r>
      <w:r w:rsidR="001E7962">
        <w:rPr>
          <w:rFonts w:eastAsia="Calibri"/>
          <w:lang w:val="es-MX"/>
        </w:rPr>
        <w:t xml:space="preserve">se ha enfocado en </w:t>
      </w:r>
      <w:r w:rsidR="004504C5">
        <w:rPr>
          <w:rFonts w:eastAsia="Calibri"/>
          <w:lang w:val="es-MX"/>
        </w:rPr>
        <w:t xml:space="preserve">los </w:t>
      </w:r>
      <w:r w:rsidR="001E7962">
        <w:rPr>
          <w:rFonts w:eastAsia="Calibri"/>
          <w:lang w:val="es-MX"/>
        </w:rPr>
        <w:t xml:space="preserve">nuevos destinos de </w:t>
      </w:r>
      <w:r w:rsidR="004504C5">
        <w:rPr>
          <w:rFonts w:eastAsia="Calibri"/>
          <w:lang w:val="es-MX"/>
        </w:rPr>
        <w:t xml:space="preserve">los </w:t>
      </w:r>
      <w:r w:rsidR="001E7962">
        <w:rPr>
          <w:rFonts w:eastAsia="Calibri"/>
          <w:lang w:val="es-MX"/>
        </w:rPr>
        <w:t xml:space="preserve">migrantes, </w:t>
      </w:r>
      <w:r w:rsidR="004504C5">
        <w:rPr>
          <w:rFonts w:eastAsia="Calibri"/>
          <w:lang w:val="es-MX"/>
        </w:rPr>
        <w:t xml:space="preserve">la </w:t>
      </w:r>
      <w:r w:rsidR="001E7962">
        <w:rPr>
          <w:rFonts w:eastAsia="Calibri"/>
          <w:lang w:val="es-MX"/>
        </w:rPr>
        <w:t>elaboración de perfiles</w:t>
      </w:r>
      <w:r w:rsidR="004504C5">
        <w:rPr>
          <w:rFonts w:eastAsia="Calibri"/>
          <w:lang w:val="es-MX"/>
        </w:rPr>
        <w:t xml:space="preserve"> de </w:t>
      </w:r>
      <w:r w:rsidR="005D13B6">
        <w:rPr>
          <w:rFonts w:eastAsia="Calibri"/>
          <w:lang w:val="es-MX"/>
        </w:rPr>
        <w:t>ciudadanía</w:t>
      </w:r>
      <w:r w:rsidR="004504C5">
        <w:rPr>
          <w:rFonts w:eastAsia="Calibri"/>
          <w:lang w:val="es-MX"/>
        </w:rPr>
        <w:t xml:space="preserve"> y detenciones bajo pretexto</w:t>
      </w:r>
      <w:r w:rsidR="00CB1250">
        <w:rPr>
          <w:rFonts w:eastAsia="Calibri"/>
          <w:lang w:val="es-MX"/>
        </w:rPr>
        <w:t>,</w:t>
      </w:r>
      <w:r w:rsidR="005D13B6">
        <w:rPr>
          <w:rFonts w:eastAsia="Calibri"/>
          <w:lang w:val="es-MX"/>
        </w:rPr>
        <w:t xml:space="preserve"> siguen siendo motivo de </w:t>
      </w:r>
      <w:r w:rsidR="001E7962">
        <w:rPr>
          <w:rFonts w:eastAsia="Calibri"/>
          <w:lang w:val="es-MX"/>
        </w:rPr>
        <w:t xml:space="preserve">preocupación ya que la vigilancia </w:t>
      </w:r>
      <w:r w:rsidR="00C03420">
        <w:rPr>
          <w:rFonts w:eastAsia="Calibri"/>
          <w:lang w:val="es-MX"/>
        </w:rPr>
        <w:t xml:space="preserve">migratoria </w:t>
      </w:r>
      <w:r w:rsidR="005D13B6">
        <w:rPr>
          <w:rFonts w:eastAsia="Calibri"/>
          <w:lang w:val="es-MX"/>
        </w:rPr>
        <w:t xml:space="preserve">se da en cualquier momento que un oficial </w:t>
      </w:r>
      <w:r w:rsidR="00C03420">
        <w:rPr>
          <w:rFonts w:eastAsia="Calibri"/>
          <w:lang w:val="es-MX"/>
        </w:rPr>
        <w:t>de campo encuentra</w:t>
      </w:r>
      <w:r w:rsidR="005D13B6">
        <w:rPr>
          <w:rFonts w:eastAsia="Calibri"/>
          <w:lang w:val="es-MX"/>
        </w:rPr>
        <w:t xml:space="preserve"> inmigrantes </w:t>
      </w:r>
      <w:r w:rsidR="00A3113E">
        <w:rPr>
          <w:rFonts w:eastAsia="Calibri"/>
          <w:lang w:val="es-MX"/>
        </w:rPr>
        <w:t>(V</w:t>
      </w:r>
      <w:r w:rsidR="001E7962">
        <w:rPr>
          <w:rFonts w:eastAsia="Calibri"/>
          <w:lang w:val="es-MX"/>
        </w:rPr>
        <w:t>ea Armenta 201</w:t>
      </w:r>
      <w:r w:rsidR="00C03420">
        <w:rPr>
          <w:rFonts w:eastAsia="Calibri"/>
          <w:lang w:val="es-MX"/>
        </w:rPr>
        <w:t>1). En tales</w:t>
      </w:r>
      <w:r w:rsidR="005D13B6">
        <w:rPr>
          <w:rFonts w:eastAsia="Calibri"/>
          <w:lang w:val="es-MX"/>
        </w:rPr>
        <w:t xml:space="preserve"> casos, </w:t>
      </w:r>
      <w:r w:rsidR="00C03420">
        <w:rPr>
          <w:rFonts w:eastAsia="Calibri"/>
          <w:lang w:val="es-MX"/>
        </w:rPr>
        <w:t xml:space="preserve">incluso </w:t>
      </w:r>
      <w:r w:rsidR="001E7962">
        <w:rPr>
          <w:rFonts w:eastAsia="Calibri"/>
          <w:lang w:val="es-MX"/>
        </w:rPr>
        <w:t>los departamentos</w:t>
      </w:r>
      <w:r w:rsidR="00661DC2">
        <w:rPr>
          <w:rFonts w:eastAsia="Calibri"/>
          <w:lang w:val="es-MX"/>
        </w:rPr>
        <w:t xml:space="preserve"> que puede</w:t>
      </w:r>
      <w:r w:rsidR="005D13B6">
        <w:rPr>
          <w:rFonts w:eastAsia="Calibri"/>
          <w:lang w:val="es-MX"/>
        </w:rPr>
        <w:t xml:space="preserve">n no </w:t>
      </w:r>
      <w:r w:rsidR="00661DC2">
        <w:rPr>
          <w:rFonts w:eastAsia="Calibri"/>
          <w:lang w:val="es-MX"/>
        </w:rPr>
        <w:t>estar asociados</w:t>
      </w:r>
      <w:r w:rsidR="00B17974">
        <w:rPr>
          <w:rFonts w:eastAsia="Calibri"/>
          <w:lang w:val="es-MX"/>
        </w:rPr>
        <w:t xml:space="preserve"> </w:t>
      </w:r>
      <w:r w:rsidR="005D13B6">
        <w:rPr>
          <w:rFonts w:eastAsia="Calibri"/>
          <w:lang w:val="es-MX"/>
        </w:rPr>
        <w:t xml:space="preserve">con el  </w:t>
      </w:r>
      <w:r w:rsidR="001E7962">
        <w:rPr>
          <w:rFonts w:eastAsia="Calibri"/>
          <w:lang w:val="es-MX"/>
        </w:rPr>
        <w:t>Departamento de Seguridad</w:t>
      </w:r>
      <w:r w:rsidR="00B17974">
        <w:rPr>
          <w:rFonts w:eastAsia="Calibri"/>
          <w:lang w:val="es-MX"/>
        </w:rPr>
        <w:t xml:space="preserve"> I</w:t>
      </w:r>
      <w:r w:rsidR="005D13B6">
        <w:rPr>
          <w:rFonts w:eastAsia="Calibri"/>
          <w:lang w:val="es-MX"/>
        </w:rPr>
        <w:t>nterna</w:t>
      </w:r>
      <w:r w:rsidR="001E7962" w:rsidRPr="00C03420">
        <w:rPr>
          <w:rFonts w:eastAsia="Calibri"/>
          <w:lang w:val="es-MX"/>
        </w:rPr>
        <w:t xml:space="preserve"> </w:t>
      </w:r>
      <w:r w:rsidR="00133576" w:rsidRPr="00C03420">
        <w:rPr>
          <w:rFonts w:eastAsia="Calibri"/>
          <w:lang w:val="es-MX"/>
        </w:rPr>
        <w:t xml:space="preserve">deben </w:t>
      </w:r>
      <w:r w:rsidR="00C03420" w:rsidRPr="00C03420">
        <w:rPr>
          <w:rFonts w:eastAsia="Calibri"/>
          <w:lang w:val="es-MX"/>
        </w:rPr>
        <w:t xml:space="preserve">aun </w:t>
      </w:r>
      <w:r w:rsidR="00133576" w:rsidRPr="00C03420">
        <w:rPr>
          <w:rFonts w:eastAsia="Calibri"/>
          <w:lang w:val="es-MX"/>
        </w:rPr>
        <w:t>vigilar</w:t>
      </w:r>
      <w:r w:rsidR="00C03420" w:rsidRPr="00C03420">
        <w:rPr>
          <w:rFonts w:eastAsia="Calibri"/>
          <w:lang w:val="es-MX"/>
        </w:rPr>
        <w:t xml:space="preserve">, detener y </w:t>
      </w:r>
      <w:r w:rsidR="00133576" w:rsidRPr="00C03420">
        <w:rPr>
          <w:rFonts w:eastAsia="Calibri"/>
          <w:lang w:val="es-MX"/>
        </w:rPr>
        <w:t xml:space="preserve">proteger a los </w:t>
      </w:r>
      <w:r w:rsidR="001E7962" w:rsidRPr="00C03420">
        <w:rPr>
          <w:rFonts w:eastAsia="Calibri"/>
          <w:lang w:val="es-MX"/>
        </w:rPr>
        <w:t xml:space="preserve"> inmigrantes.</w:t>
      </w:r>
    </w:p>
    <w:p w14:paraId="32AF1FA9" w14:textId="150583C6" w:rsidR="00B33DD8" w:rsidRPr="001E7962" w:rsidRDefault="001E7962" w:rsidP="00F0717A">
      <w:pPr>
        <w:spacing w:line="480" w:lineRule="auto"/>
        <w:jc w:val="both"/>
        <w:rPr>
          <w:rFonts w:eastAsia="Calibri"/>
          <w:u w:val="single"/>
          <w:lang w:val="es-MX"/>
        </w:rPr>
      </w:pPr>
      <w:r w:rsidRPr="001E7962">
        <w:rPr>
          <w:rFonts w:eastAsia="Calibri"/>
          <w:u w:val="single"/>
          <w:lang w:val="es-MX"/>
        </w:rPr>
        <w:t xml:space="preserve">Nivel-1 </w:t>
      </w:r>
      <w:r w:rsidR="00B17974">
        <w:rPr>
          <w:rFonts w:eastAsia="Calibri"/>
          <w:u w:val="single"/>
          <w:lang w:val="es-MX"/>
        </w:rPr>
        <w:t xml:space="preserve"> </w:t>
      </w:r>
      <w:r w:rsidRPr="001E7962">
        <w:rPr>
          <w:rFonts w:eastAsia="Calibri"/>
          <w:u w:val="single"/>
          <w:lang w:val="es-MX"/>
        </w:rPr>
        <w:t xml:space="preserve">Dependiente, Independiente y Controles </w:t>
      </w:r>
      <w:r w:rsidR="00C81BA1" w:rsidRPr="001E7962">
        <w:rPr>
          <w:rFonts w:eastAsia="Calibri"/>
          <w:u w:val="single"/>
          <w:lang w:val="es-MX"/>
        </w:rPr>
        <w:t xml:space="preserve"> </w:t>
      </w:r>
    </w:p>
    <w:p w14:paraId="23F49109" w14:textId="526C52F2" w:rsidR="001E7962" w:rsidRDefault="00133576" w:rsidP="00F0717A">
      <w:pPr>
        <w:spacing w:line="480" w:lineRule="auto"/>
        <w:ind w:firstLine="720"/>
        <w:jc w:val="both"/>
        <w:rPr>
          <w:rFonts w:eastAsia="Calibri"/>
          <w:lang w:val="es-MX"/>
        </w:rPr>
      </w:pPr>
      <w:r>
        <w:rPr>
          <w:rFonts w:eastAsia="Calibri"/>
          <w:lang w:val="es-MX"/>
        </w:rPr>
        <w:t>La</w:t>
      </w:r>
      <w:r w:rsidR="001E7962" w:rsidRPr="001E7962">
        <w:rPr>
          <w:rFonts w:eastAsia="Calibri"/>
          <w:lang w:val="es-MX"/>
        </w:rPr>
        <w:t xml:space="preserve"> variable dependiente en el análisis </w:t>
      </w:r>
      <w:r w:rsidR="00B17974">
        <w:rPr>
          <w:rFonts w:eastAsia="Calibri"/>
          <w:lang w:val="es-MX"/>
        </w:rPr>
        <w:t>se basa en la pregunta</w:t>
      </w:r>
      <w:r w:rsidR="001E7962" w:rsidRPr="001E7962">
        <w:rPr>
          <w:rFonts w:eastAsia="Calibri"/>
          <w:lang w:val="es-MX"/>
        </w:rPr>
        <w:t xml:space="preserve"> </w:t>
      </w:r>
      <w:r w:rsidR="00166D47">
        <w:rPr>
          <w:rFonts w:eastAsia="Calibri"/>
          <w:lang w:val="es-MX"/>
        </w:rPr>
        <w:t>“</w:t>
      </w:r>
      <w:r w:rsidR="001E7962" w:rsidRPr="001E7962">
        <w:rPr>
          <w:rFonts w:eastAsia="Calibri"/>
          <w:lang w:val="es-MX"/>
        </w:rPr>
        <w:t xml:space="preserve">En los últimos cinco años, además de </w:t>
      </w:r>
      <w:r>
        <w:rPr>
          <w:rFonts w:eastAsia="Calibri"/>
          <w:lang w:val="es-MX"/>
        </w:rPr>
        <w:t xml:space="preserve">los </w:t>
      </w:r>
      <w:r w:rsidR="001E7962">
        <w:rPr>
          <w:rFonts w:eastAsia="Calibri"/>
          <w:lang w:val="es-MX"/>
        </w:rPr>
        <w:t>puertos de entrada o puntos de revisión</w:t>
      </w:r>
      <w:r w:rsidR="00166D47">
        <w:rPr>
          <w:rFonts w:eastAsia="Calibri"/>
          <w:lang w:val="es-MX"/>
        </w:rPr>
        <w:t xml:space="preserve"> migratoria</w:t>
      </w:r>
      <w:r w:rsidR="001E7962">
        <w:rPr>
          <w:rFonts w:eastAsia="Calibri"/>
          <w:lang w:val="es-MX"/>
        </w:rPr>
        <w:t xml:space="preserve">, </w:t>
      </w:r>
      <w:r>
        <w:rPr>
          <w:rFonts w:eastAsia="Calibri"/>
          <w:lang w:val="es-MX"/>
        </w:rPr>
        <w:t>¿qué</w:t>
      </w:r>
      <w:r w:rsidR="001E7962">
        <w:rPr>
          <w:rFonts w:eastAsia="Calibri"/>
          <w:lang w:val="es-MX"/>
        </w:rPr>
        <w:t xml:space="preserve"> tan seguido </w:t>
      </w:r>
      <w:r w:rsidR="00412D35">
        <w:rPr>
          <w:rFonts w:eastAsia="Calibri"/>
          <w:lang w:val="es-MX"/>
        </w:rPr>
        <w:t xml:space="preserve">le ha preguntado </w:t>
      </w:r>
      <w:r w:rsidR="001E7962">
        <w:rPr>
          <w:rFonts w:eastAsia="Calibri"/>
          <w:lang w:val="es-MX"/>
        </w:rPr>
        <w:t xml:space="preserve">el personal </w:t>
      </w:r>
      <w:r>
        <w:rPr>
          <w:rFonts w:eastAsia="Calibri"/>
          <w:lang w:val="es-MX"/>
        </w:rPr>
        <w:t xml:space="preserve">de  las agencias policiacas </w:t>
      </w:r>
      <w:r w:rsidR="001E7962">
        <w:rPr>
          <w:rFonts w:eastAsia="Calibri"/>
          <w:lang w:val="es-MX"/>
        </w:rPr>
        <w:t xml:space="preserve">acerca de sus estatus </w:t>
      </w:r>
      <w:r>
        <w:rPr>
          <w:rFonts w:eastAsia="Calibri"/>
          <w:lang w:val="es-MX"/>
        </w:rPr>
        <w:t>de ciudadanía</w:t>
      </w:r>
      <w:r w:rsidR="001E7962">
        <w:rPr>
          <w:rFonts w:eastAsia="Calibri"/>
          <w:lang w:val="es-MX"/>
        </w:rPr>
        <w:t xml:space="preserve">?” Aunque la pregunta permite que </w:t>
      </w:r>
      <w:r>
        <w:rPr>
          <w:rFonts w:eastAsia="Calibri"/>
          <w:lang w:val="es-MX"/>
        </w:rPr>
        <w:t xml:space="preserve">las personas indiquen </w:t>
      </w:r>
      <w:r w:rsidR="001E7962">
        <w:rPr>
          <w:rFonts w:eastAsia="Calibri"/>
          <w:lang w:val="es-MX"/>
        </w:rPr>
        <w:t>si han sido dete</w:t>
      </w:r>
      <w:r w:rsidR="00A3113E">
        <w:rPr>
          <w:rFonts w:eastAsia="Calibri"/>
          <w:lang w:val="es-MX"/>
        </w:rPr>
        <w:t>nida</w:t>
      </w:r>
      <w:r w:rsidR="001E7962">
        <w:rPr>
          <w:rFonts w:eastAsia="Calibri"/>
          <w:lang w:val="es-MX"/>
        </w:rPr>
        <w:t xml:space="preserve">s más de una vez, debido a </w:t>
      </w:r>
      <w:r>
        <w:rPr>
          <w:rFonts w:eastAsia="Calibri"/>
          <w:lang w:val="es-MX"/>
        </w:rPr>
        <w:t xml:space="preserve">problemas de estadística por falta de datos </w:t>
      </w:r>
      <w:r w:rsidR="00E45E87">
        <w:rPr>
          <w:rFonts w:eastAsia="Calibri"/>
          <w:lang w:val="es-MX"/>
        </w:rPr>
        <w:t>y</w:t>
      </w:r>
      <w:r>
        <w:rPr>
          <w:rFonts w:eastAsia="Calibri"/>
          <w:lang w:val="es-MX"/>
        </w:rPr>
        <w:t xml:space="preserve"> la poca frecuencia </w:t>
      </w:r>
      <w:r w:rsidR="00B17974">
        <w:rPr>
          <w:rFonts w:eastAsia="Calibri"/>
          <w:lang w:val="es-MX"/>
        </w:rPr>
        <w:t>con q</w:t>
      </w:r>
      <w:r>
        <w:rPr>
          <w:rFonts w:eastAsia="Calibri"/>
          <w:lang w:val="es-MX"/>
        </w:rPr>
        <w:t xml:space="preserve">ue se les ha preguntado </w:t>
      </w:r>
      <w:r w:rsidR="00B17974">
        <w:rPr>
          <w:rFonts w:eastAsia="Calibri"/>
          <w:lang w:val="es-MX"/>
        </w:rPr>
        <w:t xml:space="preserve">a las personas </w:t>
      </w:r>
      <w:r>
        <w:rPr>
          <w:rFonts w:eastAsia="Calibri"/>
          <w:lang w:val="es-MX"/>
        </w:rPr>
        <w:t>sobre su estatus</w:t>
      </w:r>
      <w:r w:rsidR="001E7962">
        <w:rPr>
          <w:rFonts w:eastAsia="Calibri"/>
          <w:lang w:val="es-MX"/>
        </w:rPr>
        <w:t xml:space="preserve"> </w:t>
      </w:r>
      <w:r>
        <w:rPr>
          <w:rFonts w:eastAsia="Calibri"/>
          <w:lang w:val="es-MX"/>
        </w:rPr>
        <w:t>de ciudadanía</w:t>
      </w:r>
      <w:r w:rsidR="001E7962">
        <w:rPr>
          <w:rFonts w:eastAsia="Calibri"/>
          <w:lang w:val="es-MX"/>
        </w:rPr>
        <w:t xml:space="preserve"> </w:t>
      </w:r>
      <w:r>
        <w:rPr>
          <w:rFonts w:eastAsia="Calibri"/>
          <w:lang w:val="es-MX"/>
        </w:rPr>
        <w:t xml:space="preserve">en </w:t>
      </w:r>
      <w:r w:rsidR="001E7962">
        <w:rPr>
          <w:rFonts w:eastAsia="Calibri"/>
          <w:lang w:val="es-MX"/>
        </w:rPr>
        <w:t>más de cinco ocasiones</w:t>
      </w:r>
      <w:r>
        <w:rPr>
          <w:rFonts w:eastAsia="Calibri"/>
          <w:lang w:val="es-MX"/>
        </w:rPr>
        <w:t xml:space="preserve"> diferentes</w:t>
      </w:r>
      <w:r w:rsidR="001E7962">
        <w:rPr>
          <w:rFonts w:eastAsia="Calibri"/>
          <w:lang w:val="es-MX"/>
        </w:rPr>
        <w:t xml:space="preserve">, </w:t>
      </w:r>
      <w:r>
        <w:rPr>
          <w:rFonts w:eastAsia="Calibri"/>
          <w:lang w:val="es-MX"/>
        </w:rPr>
        <w:t>nosotros operamos la</w:t>
      </w:r>
      <w:r w:rsidR="00166D47">
        <w:rPr>
          <w:rFonts w:eastAsia="Calibri"/>
          <w:lang w:val="es-MX"/>
        </w:rPr>
        <w:t xml:space="preserve"> variable dependiente “1” si a los encuestados se les pregunt</w:t>
      </w:r>
      <w:r w:rsidR="00A3113E">
        <w:rPr>
          <w:rFonts w:eastAsia="Calibri"/>
          <w:lang w:val="es-MX"/>
        </w:rPr>
        <w:t>ó</w:t>
      </w:r>
      <w:r w:rsidR="00166D47">
        <w:rPr>
          <w:rFonts w:eastAsia="Calibri"/>
          <w:lang w:val="es-MX"/>
        </w:rPr>
        <w:t xml:space="preserve"> sobre su estatus de ciudadanía y</w:t>
      </w:r>
      <w:r>
        <w:rPr>
          <w:rFonts w:eastAsia="Calibri"/>
          <w:lang w:val="es-MX"/>
        </w:rPr>
        <w:t xml:space="preserve"> de lo contrario</w:t>
      </w:r>
      <w:r w:rsidR="00A3113E">
        <w:rPr>
          <w:rFonts w:eastAsia="Calibri"/>
          <w:lang w:val="es-MX"/>
        </w:rPr>
        <w:t xml:space="preserve"> </w:t>
      </w:r>
      <w:r w:rsidR="00166D47">
        <w:rPr>
          <w:rFonts w:eastAsia="Calibri"/>
          <w:lang w:val="es-MX"/>
        </w:rPr>
        <w:t xml:space="preserve">“0”. </w:t>
      </w:r>
      <w:r w:rsidR="001E7962">
        <w:rPr>
          <w:rFonts w:eastAsia="Calibri"/>
          <w:lang w:val="es-MX"/>
        </w:rPr>
        <w:t>Una</w:t>
      </w:r>
      <w:r>
        <w:rPr>
          <w:rFonts w:eastAsia="Calibri"/>
          <w:lang w:val="es-MX"/>
        </w:rPr>
        <w:t xml:space="preserve"> limitante es que nos falta </w:t>
      </w:r>
      <w:r w:rsidR="00FB01BE">
        <w:rPr>
          <w:rFonts w:eastAsia="Calibri"/>
          <w:lang w:val="es-MX"/>
        </w:rPr>
        <w:t>información</w:t>
      </w:r>
      <w:r>
        <w:rPr>
          <w:rFonts w:eastAsia="Calibri"/>
          <w:lang w:val="es-MX"/>
        </w:rPr>
        <w:t xml:space="preserve"> sobre d</w:t>
      </w:r>
      <w:r w:rsidR="00412D35">
        <w:rPr>
          <w:rFonts w:eastAsia="Calibri"/>
          <w:lang w:val="es-MX"/>
        </w:rPr>
        <w:t>ó</w:t>
      </w:r>
      <w:r>
        <w:rPr>
          <w:rFonts w:eastAsia="Calibri"/>
          <w:lang w:val="es-MX"/>
        </w:rPr>
        <w:t xml:space="preserve">nde </w:t>
      </w:r>
      <w:r w:rsidR="00166D47">
        <w:rPr>
          <w:rFonts w:eastAsia="Calibri"/>
          <w:lang w:val="es-MX"/>
        </w:rPr>
        <w:t xml:space="preserve">fueron cuestionadas las personas </w:t>
      </w:r>
      <w:r>
        <w:rPr>
          <w:rFonts w:eastAsia="Calibri"/>
          <w:lang w:val="es-MX"/>
        </w:rPr>
        <w:t xml:space="preserve">acerca de su estatus de </w:t>
      </w:r>
      <w:r w:rsidR="00FB01BE">
        <w:rPr>
          <w:rFonts w:eastAsia="Calibri"/>
          <w:lang w:val="es-MX"/>
        </w:rPr>
        <w:t>ciudadanía</w:t>
      </w:r>
      <w:r>
        <w:rPr>
          <w:rFonts w:eastAsia="Calibri"/>
          <w:lang w:val="es-MX"/>
        </w:rPr>
        <w:t xml:space="preserve"> y las actividades en que estaban involucradas en ese momento </w:t>
      </w:r>
      <w:r w:rsidR="001E7962">
        <w:rPr>
          <w:rFonts w:eastAsia="Calibri"/>
          <w:lang w:val="es-MX"/>
        </w:rPr>
        <w:t>(</w:t>
      </w:r>
      <w:r w:rsidR="00412D35">
        <w:rPr>
          <w:rFonts w:eastAsia="Calibri"/>
          <w:lang w:val="es-MX"/>
        </w:rPr>
        <w:t>P</w:t>
      </w:r>
      <w:r w:rsidR="001E7962">
        <w:rPr>
          <w:rFonts w:eastAsia="Calibri"/>
          <w:lang w:val="es-MX"/>
        </w:rPr>
        <w:t>or ejemplo</w:t>
      </w:r>
      <w:r w:rsidR="00412D35">
        <w:rPr>
          <w:rFonts w:eastAsia="Calibri"/>
          <w:lang w:val="es-MX"/>
        </w:rPr>
        <w:t>,</w:t>
      </w:r>
      <w:r w:rsidR="001E7962">
        <w:rPr>
          <w:rFonts w:eastAsia="Calibri"/>
          <w:lang w:val="es-MX"/>
        </w:rPr>
        <w:t xml:space="preserve"> manejando, trabajando,</w:t>
      </w:r>
      <w:r w:rsidR="00FB01BE">
        <w:rPr>
          <w:rFonts w:eastAsia="Calibri"/>
          <w:lang w:val="es-MX"/>
        </w:rPr>
        <w:t xml:space="preserve"> paseando, etc…), sin embargo</w:t>
      </w:r>
      <w:r w:rsidR="00E45E87">
        <w:rPr>
          <w:rFonts w:eastAsia="Calibri"/>
          <w:lang w:val="es-MX"/>
        </w:rPr>
        <w:t>,</w:t>
      </w:r>
      <w:r w:rsidR="00FB01BE">
        <w:rPr>
          <w:rFonts w:eastAsia="Calibri"/>
          <w:lang w:val="es-MX"/>
        </w:rPr>
        <w:t xml:space="preserve"> las características de</w:t>
      </w:r>
      <w:r w:rsidR="001E7962">
        <w:rPr>
          <w:rFonts w:eastAsia="Calibri"/>
          <w:lang w:val="es-MX"/>
        </w:rPr>
        <w:t xml:space="preserve"> los vecindarios</w:t>
      </w:r>
      <w:r w:rsidR="00FB01BE">
        <w:rPr>
          <w:rFonts w:eastAsia="Calibri"/>
          <w:lang w:val="es-MX"/>
        </w:rPr>
        <w:t xml:space="preserve"> donde vive</w:t>
      </w:r>
      <w:r w:rsidR="00A3113E">
        <w:rPr>
          <w:rFonts w:eastAsia="Calibri"/>
          <w:lang w:val="es-MX"/>
        </w:rPr>
        <w:t>n</w:t>
      </w:r>
      <w:r w:rsidR="00FB01BE">
        <w:rPr>
          <w:rFonts w:eastAsia="Calibri"/>
          <w:lang w:val="es-MX"/>
        </w:rPr>
        <w:t xml:space="preserve"> las personas pueden revelar el </w:t>
      </w:r>
      <w:r w:rsidR="00FB01BE">
        <w:rPr>
          <w:rFonts w:eastAsia="Calibri"/>
          <w:lang w:val="es-MX"/>
        </w:rPr>
        <w:lastRenderedPageBreak/>
        <w:t>impacto de las condiciones estructurales sobre la</w:t>
      </w:r>
      <w:r w:rsidR="001E7962">
        <w:rPr>
          <w:rFonts w:eastAsia="Calibri"/>
          <w:lang w:val="es-MX"/>
        </w:rPr>
        <w:t xml:space="preserve"> probabilidad </w:t>
      </w:r>
      <w:r w:rsidR="00A3113E">
        <w:rPr>
          <w:rFonts w:eastAsia="Calibri"/>
          <w:lang w:val="es-MX"/>
        </w:rPr>
        <w:t xml:space="preserve">de </w:t>
      </w:r>
      <w:r w:rsidR="001E7962">
        <w:rPr>
          <w:rFonts w:eastAsia="Calibri"/>
          <w:lang w:val="es-MX"/>
        </w:rPr>
        <w:t>que</w:t>
      </w:r>
      <w:r w:rsidR="00FB01BE">
        <w:rPr>
          <w:rFonts w:eastAsia="Calibri"/>
          <w:lang w:val="es-MX"/>
        </w:rPr>
        <w:t xml:space="preserve"> se</w:t>
      </w:r>
      <w:r w:rsidR="006F27F1">
        <w:rPr>
          <w:rFonts w:eastAsia="Calibri"/>
          <w:lang w:val="es-MX"/>
        </w:rPr>
        <w:t xml:space="preserve"> les pregunte</w:t>
      </w:r>
      <w:r w:rsidR="001E7962">
        <w:rPr>
          <w:rFonts w:eastAsia="Calibri"/>
          <w:lang w:val="es-MX"/>
        </w:rPr>
        <w:t xml:space="preserve"> su estatus</w:t>
      </w:r>
      <w:r w:rsidR="00FB01BE">
        <w:rPr>
          <w:rFonts w:eastAsia="Calibri"/>
          <w:lang w:val="es-MX"/>
        </w:rPr>
        <w:t xml:space="preserve"> de ciudadanía.</w:t>
      </w:r>
    </w:p>
    <w:p w14:paraId="325B42F8" w14:textId="213165CD" w:rsidR="001E7962" w:rsidRPr="001E7962" w:rsidRDefault="00FB01BE" w:rsidP="00F0717A">
      <w:pPr>
        <w:spacing w:line="480" w:lineRule="auto"/>
        <w:ind w:firstLine="720"/>
        <w:jc w:val="both"/>
        <w:rPr>
          <w:rFonts w:eastAsia="Calibri"/>
          <w:lang w:val="es-MX"/>
        </w:rPr>
      </w:pPr>
      <w:r>
        <w:rPr>
          <w:rFonts w:eastAsia="Calibri"/>
          <w:lang w:val="es-MX"/>
        </w:rPr>
        <w:t>La</w:t>
      </w:r>
      <w:r w:rsidR="001E7962">
        <w:rPr>
          <w:rFonts w:eastAsia="Calibri"/>
          <w:lang w:val="es-MX"/>
        </w:rPr>
        <w:t xml:space="preserve"> variable independiente es un estatus generacional. La primera generación</w:t>
      </w:r>
      <w:r>
        <w:rPr>
          <w:rFonts w:eastAsia="Calibri"/>
          <w:lang w:val="es-MX"/>
        </w:rPr>
        <w:t xml:space="preserve"> se integra de personas </w:t>
      </w:r>
      <w:r w:rsidR="00E45E87">
        <w:rPr>
          <w:rFonts w:eastAsia="Calibri"/>
          <w:lang w:val="es-MX"/>
        </w:rPr>
        <w:t xml:space="preserve">que nacieron </w:t>
      </w:r>
      <w:r w:rsidR="001E7962">
        <w:rPr>
          <w:rFonts w:eastAsia="Calibri"/>
          <w:lang w:val="es-MX"/>
        </w:rPr>
        <w:t xml:space="preserve">fuera de los Estados Unidos. La </w:t>
      </w:r>
      <w:r w:rsidR="001E7962" w:rsidRPr="00E45E87">
        <w:rPr>
          <w:rFonts w:eastAsia="Calibri"/>
          <w:lang w:val="es-MX"/>
        </w:rPr>
        <w:t xml:space="preserve">segunda generación </w:t>
      </w:r>
      <w:r w:rsidR="00E45E87">
        <w:rPr>
          <w:rFonts w:eastAsia="Calibri"/>
          <w:lang w:val="es-MX"/>
        </w:rPr>
        <w:t xml:space="preserve">por </w:t>
      </w:r>
      <w:r w:rsidRPr="00E45E87">
        <w:rPr>
          <w:rFonts w:eastAsia="Calibri"/>
          <w:lang w:val="es-MX"/>
        </w:rPr>
        <w:t>personas</w:t>
      </w:r>
      <w:r>
        <w:rPr>
          <w:rFonts w:eastAsia="Calibri"/>
          <w:lang w:val="es-MX"/>
        </w:rPr>
        <w:t xml:space="preserve"> </w:t>
      </w:r>
      <w:r w:rsidR="001E7962">
        <w:rPr>
          <w:rFonts w:eastAsia="Calibri"/>
          <w:lang w:val="es-MX"/>
        </w:rPr>
        <w:t xml:space="preserve"> que naci</w:t>
      </w:r>
      <w:r w:rsidR="00E5479E">
        <w:rPr>
          <w:rFonts w:eastAsia="Calibri"/>
          <w:lang w:val="es-MX"/>
        </w:rPr>
        <w:t xml:space="preserve">eron en los Estados Unidos y cuyes madres nacieron en el extranjero. La tercera y/o </w:t>
      </w:r>
      <w:r w:rsidR="001E7962">
        <w:rPr>
          <w:rFonts w:eastAsia="Calibri"/>
          <w:lang w:val="es-MX"/>
        </w:rPr>
        <w:t>siguiente generación incluye</w:t>
      </w:r>
      <w:r w:rsidR="00E5479E">
        <w:rPr>
          <w:rFonts w:eastAsia="Calibri"/>
          <w:lang w:val="es-MX"/>
        </w:rPr>
        <w:t xml:space="preserve"> personas que nacieron en los Estados Unidos y cuyas</w:t>
      </w:r>
      <w:r w:rsidR="001E7962">
        <w:rPr>
          <w:rFonts w:eastAsia="Calibri"/>
          <w:lang w:val="es-MX"/>
        </w:rPr>
        <w:t xml:space="preserve"> madres también nacieron en</w:t>
      </w:r>
      <w:r w:rsidR="00E5479E">
        <w:rPr>
          <w:rFonts w:eastAsia="Calibri"/>
          <w:lang w:val="es-MX"/>
        </w:rPr>
        <w:t xml:space="preserve"> los</w:t>
      </w:r>
      <w:r w:rsidR="001E7962">
        <w:rPr>
          <w:rFonts w:eastAsia="Calibri"/>
          <w:lang w:val="es-MX"/>
        </w:rPr>
        <w:t xml:space="preserve"> Estados Unidos. El estatus generacional se mide utilizando </w:t>
      </w:r>
      <w:r w:rsidR="00E5479E">
        <w:rPr>
          <w:rFonts w:eastAsia="Calibri"/>
          <w:lang w:val="es-MX"/>
        </w:rPr>
        <w:t>dos variables fictici</w:t>
      </w:r>
      <w:r w:rsidR="00A3113E">
        <w:rPr>
          <w:rFonts w:eastAsia="Calibri"/>
          <w:lang w:val="es-MX"/>
        </w:rPr>
        <w:t>a</w:t>
      </w:r>
      <w:r w:rsidR="00E5479E">
        <w:rPr>
          <w:rFonts w:eastAsia="Calibri"/>
          <w:lang w:val="es-MX"/>
        </w:rPr>
        <w:t>s (primera y segunda generación)</w:t>
      </w:r>
      <w:r w:rsidR="001E7962">
        <w:rPr>
          <w:rFonts w:eastAsia="Calibri"/>
          <w:lang w:val="es-MX"/>
        </w:rPr>
        <w:t xml:space="preserve"> con </w:t>
      </w:r>
      <w:r w:rsidR="00E5479E">
        <w:rPr>
          <w:rFonts w:eastAsia="Calibri"/>
          <w:lang w:val="es-MX"/>
        </w:rPr>
        <w:t xml:space="preserve">las personas que son de la tercera y/o </w:t>
      </w:r>
      <w:r w:rsidR="006F27F1">
        <w:rPr>
          <w:rFonts w:eastAsia="Calibri"/>
          <w:lang w:val="es-MX"/>
        </w:rPr>
        <w:t xml:space="preserve">la siguiente </w:t>
      </w:r>
      <w:r w:rsidR="00E45E87">
        <w:rPr>
          <w:rFonts w:eastAsia="Calibri"/>
          <w:lang w:val="es-MX"/>
        </w:rPr>
        <w:t xml:space="preserve">generación </w:t>
      </w:r>
      <w:r w:rsidR="006F27F1">
        <w:rPr>
          <w:rFonts w:eastAsia="Calibri"/>
          <w:lang w:val="es-MX"/>
        </w:rPr>
        <w:t>del grupo de referencia</w:t>
      </w:r>
      <w:r w:rsidR="00E5479E">
        <w:rPr>
          <w:rFonts w:eastAsia="Calibri"/>
          <w:lang w:val="es-MX"/>
        </w:rPr>
        <w:t xml:space="preserve">.  </w:t>
      </w:r>
    </w:p>
    <w:p w14:paraId="1CA37679" w14:textId="20B6E3DC" w:rsidR="001E7962" w:rsidRPr="001E7962" w:rsidRDefault="00E5479E" w:rsidP="00F0717A">
      <w:pPr>
        <w:spacing w:line="480" w:lineRule="auto"/>
        <w:ind w:firstLine="720"/>
        <w:jc w:val="both"/>
        <w:rPr>
          <w:rFonts w:eastAsia="Calibri"/>
          <w:lang w:val="es-MX"/>
        </w:rPr>
      </w:pPr>
      <w:r>
        <w:rPr>
          <w:rFonts w:eastAsia="Calibri"/>
          <w:lang w:val="es-MX"/>
        </w:rPr>
        <w:t>A</w:t>
      </w:r>
      <w:r w:rsidR="001E7962" w:rsidRPr="001E7962">
        <w:rPr>
          <w:rFonts w:eastAsia="Calibri"/>
          <w:lang w:val="es-MX"/>
        </w:rPr>
        <w:t xml:space="preserve"> nivel individual</w:t>
      </w:r>
      <w:r w:rsidR="00A3113E">
        <w:rPr>
          <w:rFonts w:eastAsia="Calibri"/>
          <w:lang w:val="es-MX"/>
        </w:rPr>
        <w:t>,</w:t>
      </w:r>
      <w:r w:rsidR="001E7962" w:rsidRPr="001E7962">
        <w:rPr>
          <w:rFonts w:eastAsia="Calibri"/>
          <w:lang w:val="es-MX"/>
        </w:rPr>
        <w:t xml:space="preserve"> tam</w:t>
      </w:r>
      <w:r w:rsidR="00A3113E">
        <w:rPr>
          <w:rFonts w:eastAsia="Calibri"/>
          <w:lang w:val="es-MX"/>
        </w:rPr>
        <w:t>bién incluimos controles para las variables demográfica</w:t>
      </w:r>
      <w:r w:rsidR="001E7962" w:rsidRPr="001E7962">
        <w:rPr>
          <w:rFonts w:eastAsia="Calibri"/>
          <w:lang w:val="es-MX"/>
        </w:rPr>
        <w:t xml:space="preserve">s de etnicidad </w:t>
      </w:r>
      <w:r w:rsidR="001E7962">
        <w:rPr>
          <w:rFonts w:eastAsia="Calibri"/>
          <w:lang w:val="es-MX"/>
        </w:rPr>
        <w:t>l</w:t>
      </w:r>
      <w:r w:rsidR="001E7962" w:rsidRPr="001E7962">
        <w:rPr>
          <w:rFonts w:eastAsia="Calibri"/>
          <w:lang w:val="es-MX"/>
        </w:rPr>
        <w:t xml:space="preserve">atina, sexo y edad. </w:t>
      </w:r>
      <w:r w:rsidR="001E7962">
        <w:rPr>
          <w:rFonts w:eastAsia="Calibri"/>
          <w:lang w:val="es-MX"/>
        </w:rPr>
        <w:t xml:space="preserve">La etnicidad latina se clasifica como </w:t>
      </w:r>
      <w:r>
        <w:rPr>
          <w:rFonts w:eastAsia="Calibri"/>
          <w:lang w:val="es-MX"/>
        </w:rPr>
        <w:t>variable ficticia</w:t>
      </w:r>
      <w:r w:rsidR="001E7962">
        <w:rPr>
          <w:rFonts w:eastAsia="Calibri"/>
          <w:lang w:val="es-MX"/>
        </w:rPr>
        <w:t xml:space="preserve"> (1= </w:t>
      </w:r>
      <w:r w:rsidR="00E45E87">
        <w:rPr>
          <w:rFonts w:eastAsia="Calibri"/>
          <w:lang w:val="es-MX"/>
        </w:rPr>
        <w:t>etnicidad latina</w:t>
      </w:r>
      <w:r w:rsidR="001E7962">
        <w:rPr>
          <w:rFonts w:eastAsia="Calibri"/>
          <w:lang w:val="es-MX"/>
        </w:rPr>
        <w:t xml:space="preserve">, 0- de </w:t>
      </w:r>
      <w:r w:rsidR="00E45E87">
        <w:rPr>
          <w:rFonts w:eastAsia="Calibri"/>
          <w:lang w:val="es-MX"/>
        </w:rPr>
        <w:t>otra</w:t>
      </w:r>
      <w:r>
        <w:rPr>
          <w:rFonts w:eastAsia="Calibri"/>
          <w:lang w:val="es-MX"/>
        </w:rPr>
        <w:t>). El sexo también se clasifica</w:t>
      </w:r>
      <w:r w:rsidR="001E7962">
        <w:rPr>
          <w:rFonts w:eastAsia="Calibri"/>
          <w:lang w:val="es-MX"/>
        </w:rPr>
        <w:t xml:space="preserve"> </w:t>
      </w:r>
      <w:r>
        <w:rPr>
          <w:rFonts w:eastAsia="Calibri"/>
          <w:lang w:val="es-MX"/>
        </w:rPr>
        <w:t>como variable ficticia</w:t>
      </w:r>
      <w:r w:rsidR="00E45E87">
        <w:rPr>
          <w:rFonts w:eastAsia="Calibri"/>
          <w:lang w:val="es-MX"/>
        </w:rPr>
        <w:t xml:space="preserve"> (1= hombre, 0=otro</w:t>
      </w:r>
      <w:r w:rsidR="001E7962">
        <w:rPr>
          <w:rFonts w:eastAsia="Calibri"/>
          <w:lang w:val="es-MX"/>
        </w:rPr>
        <w:t>)</w:t>
      </w:r>
      <w:r w:rsidR="006F27F1">
        <w:rPr>
          <w:rFonts w:eastAsia="Calibri"/>
          <w:lang w:val="es-MX"/>
        </w:rPr>
        <w:t>.</w:t>
      </w:r>
      <w:r w:rsidR="001E7962">
        <w:rPr>
          <w:rFonts w:eastAsia="Calibri"/>
          <w:lang w:val="es-MX"/>
        </w:rPr>
        <w:t xml:space="preserve"> La edad</w:t>
      </w:r>
      <w:r>
        <w:rPr>
          <w:rFonts w:eastAsia="Calibri"/>
          <w:lang w:val="es-MX"/>
        </w:rPr>
        <w:t xml:space="preserve"> se mide como variable continua.</w:t>
      </w:r>
      <w:r w:rsidR="001E7962">
        <w:rPr>
          <w:rFonts w:eastAsia="Calibri"/>
          <w:lang w:val="es-MX"/>
        </w:rPr>
        <w:t xml:space="preserve"> Desafortunadamente, no podemos incluir un c</w:t>
      </w:r>
      <w:r>
        <w:rPr>
          <w:rFonts w:eastAsia="Calibri"/>
          <w:lang w:val="es-MX"/>
        </w:rPr>
        <w:t>ontrol para la clase social a</w:t>
      </w:r>
      <w:r w:rsidR="001E7962">
        <w:rPr>
          <w:rFonts w:eastAsia="Calibri"/>
          <w:lang w:val="es-MX"/>
        </w:rPr>
        <w:t xml:space="preserve"> nivel-individual debido</w:t>
      </w:r>
      <w:r>
        <w:rPr>
          <w:rFonts w:eastAsia="Calibri"/>
          <w:lang w:val="es-MX"/>
        </w:rPr>
        <w:t xml:space="preserve"> al gran</w:t>
      </w:r>
      <w:r w:rsidR="001E7962">
        <w:rPr>
          <w:rFonts w:eastAsia="Calibri"/>
          <w:lang w:val="es-MX"/>
        </w:rPr>
        <w:t xml:space="preserve"> nú</w:t>
      </w:r>
      <w:r>
        <w:rPr>
          <w:rFonts w:eastAsia="Calibri"/>
          <w:lang w:val="es-MX"/>
        </w:rPr>
        <w:t>mero</w:t>
      </w:r>
      <w:r w:rsidR="001E7962">
        <w:rPr>
          <w:rFonts w:eastAsia="Calibri"/>
          <w:lang w:val="es-MX"/>
        </w:rPr>
        <w:t xml:space="preserve"> de valores ausentes.</w:t>
      </w:r>
    </w:p>
    <w:p w14:paraId="0923E7DB" w14:textId="236E2128" w:rsidR="00B33DD8" w:rsidRPr="001E7962" w:rsidRDefault="001E7962" w:rsidP="00F0717A">
      <w:pPr>
        <w:spacing w:line="480" w:lineRule="auto"/>
        <w:jc w:val="both"/>
        <w:rPr>
          <w:rFonts w:eastAsia="Calibri"/>
          <w:u w:val="single"/>
          <w:lang w:val="es-MX"/>
        </w:rPr>
      </w:pPr>
      <w:r w:rsidRPr="001E7962">
        <w:rPr>
          <w:rFonts w:eastAsia="Calibri"/>
          <w:u w:val="single"/>
          <w:lang w:val="es-MX"/>
        </w:rPr>
        <w:t>Nivel</w:t>
      </w:r>
      <w:r w:rsidR="00C81BA1" w:rsidRPr="001E7962">
        <w:rPr>
          <w:rFonts w:eastAsia="Calibri"/>
          <w:u w:val="single"/>
          <w:lang w:val="es-MX"/>
        </w:rPr>
        <w:t xml:space="preserve"> 2: </w:t>
      </w:r>
      <w:r w:rsidR="00E5479E">
        <w:rPr>
          <w:rFonts w:eastAsia="Calibri"/>
          <w:u w:val="single"/>
          <w:lang w:val="es-MX"/>
        </w:rPr>
        <w:t>Enclave</w:t>
      </w:r>
      <w:r w:rsidRPr="001E7962">
        <w:rPr>
          <w:rFonts w:eastAsia="Calibri"/>
          <w:u w:val="single"/>
          <w:lang w:val="es-MX"/>
        </w:rPr>
        <w:t xml:space="preserve"> </w:t>
      </w:r>
      <w:r w:rsidR="00E45E87">
        <w:rPr>
          <w:rFonts w:eastAsia="Calibri"/>
          <w:u w:val="single"/>
          <w:lang w:val="es-MX"/>
        </w:rPr>
        <w:t>é</w:t>
      </w:r>
      <w:r w:rsidRPr="001E7962">
        <w:rPr>
          <w:rFonts w:eastAsia="Calibri"/>
          <w:u w:val="single"/>
          <w:lang w:val="es-MX"/>
        </w:rPr>
        <w:t xml:space="preserve">tnico y </w:t>
      </w:r>
      <w:r w:rsidR="00A3113E">
        <w:rPr>
          <w:rFonts w:eastAsia="Calibri"/>
          <w:u w:val="single"/>
          <w:lang w:val="es-MX"/>
        </w:rPr>
        <w:t>v</w:t>
      </w:r>
      <w:r w:rsidR="00E45E87">
        <w:rPr>
          <w:rFonts w:eastAsia="Calibri"/>
          <w:u w:val="single"/>
          <w:lang w:val="es-MX"/>
        </w:rPr>
        <w:t>ecindarios pobres</w:t>
      </w:r>
      <w:r>
        <w:rPr>
          <w:rFonts w:eastAsia="Calibri"/>
          <w:u w:val="single"/>
          <w:lang w:val="es-MX"/>
        </w:rPr>
        <w:t xml:space="preserve"> </w:t>
      </w:r>
    </w:p>
    <w:p w14:paraId="197EE64C" w14:textId="04DA6B15" w:rsidR="001E7962" w:rsidRPr="001E7962" w:rsidRDefault="001E7962" w:rsidP="00F0717A">
      <w:pPr>
        <w:spacing w:line="480" w:lineRule="auto"/>
        <w:ind w:firstLine="720"/>
        <w:jc w:val="both"/>
        <w:rPr>
          <w:rFonts w:eastAsia="Calibri"/>
          <w:lang w:val="es-MX"/>
        </w:rPr>
      </w:pPr>
      <w:r w:rsidRPr="001E7962">
        <w:rPr>
          <w:rFonts w:eastAsia="Calibri"/>
          <w:lang w:val="es-MX"/>
        </w:rPr>
        <w:t>Para</w:t>
      </w:r>
      <w:r w:rsidR="00E5479E">
        <w:rPr>
          <w:rFonts w:eastAsia="Calibri"/>
          <w:lang w:val="es-MX"/>
        </w:rPr>
        <w:t xml:space="preserve"> </w:t>
      </w:r>
      <w:r w:rsidR="00412D35">
        <w:rPr>
          <w:rFonts w:eastAsia="Calibri"/>
          <w:lang w:val="es-MX"/>
        </w:rPr>
        <w:t>captura</w:t>
      </w:r>
      <w:r w:rsidR="00E5479E">
        <w:rPr>
          <w:rFonts w:eastAsia="Calibri"/>
          <w:lang w:val="es-MX"/>
        </w:rPr>
        <w:t>r al grado en que un vecindario es un enclave</w:t>
      </w:r>
      <w:r w:rsidR="00A3113E">
        <w:rPr>
          <w:rFonts w:eastAsia="Calibri"/>
          <w:lang w:val="es-MX"/>
        </w:rPr>
        <w:t>,</w:t>
      </w:r>
      <w:r w:rsidR="00E5479E">
        <w:rPr>
          <w:rFonts w:eastAsia="Calibri"/>
          <w:lang w:val="es-MX"/>
        </w:rPr>
        <w:t xml:space="preserve"> utilizamos una combinación de encuesta e información de censos </w:t>
      </w:r>
      <w:r w:rsidRPr="001E7962">
        <w:rPr>
          <w:rFonts w:eastAsia="Calibri"/>
          <w:lang w:val="es-MX"/>
        </w:rPr>
        <w:t xml:space="preserve"> (ACS 2008-2012).  Comenzamos construyendo una esca</w:t>
      </w:r>
      <w:r w:rsidR="00E5479E">
        <w:rPr>
          <w:rFonts w:eastAsia="Calibri"/>
          <w:lang w:val="es-MX"/>
        </w:rPr>
        <w:t xml:space="preserve">la continua basada en encuesta del transnacionalismo, </w:t>
      </w:r>
      <w:r w:rsidR="006E6F85">
        <w:rPr>
          <w:rFonts w:eastAsia="Calibri"/>
          <w:lang w:val="es-MX"/>
        </w:rPr>
        <w:t>(</w:t>
      </w:r>
      <w:r w:rsidR="006F27F1">
        <w:rPr>
          <w:rFonts w:eastAsia="Calibri"/>
          <w:lang w:val="es-MX"/>
        </w:rPr>
        <w:t>encuesta</w:t>
      </w:r>
      <w:r w:rsidR="006E6F85">
        <w:rPr>
          <w:rFonts w:eastAsia="Calibri"/>
          <w:lang w:val="es-MX"/>
        </w:rPr>
        <w:t>)</w:t>
      </w:r>
      <w:r w:rsidR="006F27F1">
        <w:rPr>
          <w:rFonts w:eastAsia="Calibri"/>
          <w:lang w:val="es-MX"/>
        </w:rPr>
        <w:t xml:space="preserve"> </w:t>
      </w:r>
      <w:r w:rsidR="006E6F85">
        <w:rPr>
          <w:rFonts w:eastAsia="Calibri"/>
          <w:lang w:val="es-MX"/>
        </w:rPr>
        <w:t>aculturación a</w:t>
      </w:r>
      <w:r w:rsidR="00E5479E">
        <w:rPr>
          <w:rFonts w:eastAsia="Calibri"/>
          <w:lang w:val="es-MX"/>
        </w:rPr>
        <w:t xml:space="preserve"> México, </w:t>
      </w:r>
      <w:r w:rsidR="006F27F1" w:rsidRPr="001E7962">
        <w:rPr>
          <w:rFonts w:eastAsia="Calibri"/>
          <w:lang w:val="es-MX"/>
        </w:rPr>
        <w:t>porcentaje de</w:t>
      </w:r>
      <w:r w:rsidR="006F27F1">
        <w:rPr>
          <w:rFonts w:eastAsia="Calibri"/>
          <w:lang w:val="es-MX"/>
        </w:rPr>
        <w:t xml:space="preserve"> nacidos en el extranjero, porcentaje de nacidos en el extranjero no naturalizados (ACS), </w:t>
      </w:r>
      <w:r w:rsidRPr="001E7962">
        <w:rPr>
          <w:rFonts w:eastAsia="Calibri"/>
          <w:lang w:val="es-MX"/>
        </w:rPr>
        <w:t>porcentaje de</w:t>
      </w:r>
      <w:r w:rsidR="00E5479E">
        <w:rPr>
          <w:rFonts w:eastAsia="Calibri"/>
          <w:lang w:val="es-MX"/>
        </w:rPr>
        <w:t xml:space="preserve"> personas que hablan solamente español en casa </w:t>
      </w:r>
      <w:r w:rsidRPr="001E7962">
        <w:rPr>
          <w:rFonts w:eastAsia="Calibri"/>
          <w:lang w:val="es-MX"/>
        </w:rPr>
        <w:t xml:space="preserve"> </w:t>
      </w:r>
      <w:r w:rsidR="006F27F1">
        <w:rPr>
          <w:rFonts w:eastAsia="Calibri"/>
          <w:lang w:val="es-MX"/>
        </w:rPr>
        <w:t>(ACS)</w:t>
      </w:r>
      <w:r w:rsidR="00E5479E">
        <w:rPr>
          <w:rFonts w:eastAsia="Calibri"/>
          <w:lang w:val="es-MX"/>
        </w:rPr>
        <w:t xml:space="preserve"> y </w:t>
      </w:r>
      <w:r w:rsidRPr="001E7962">
        <w:rPr>
          <w:rFonts w:eastAsia="Calibri"/>
          <w:lang w:val="es-MX"/>
        </w:rPr>
        <w:t xml:space="preserve"> porcentaje de </w:t>
      </w:r>
      <w:r w:rsidR="00E5479E">
        <w:rPr>
          <w:rFonts w:eastAsia="Calibri"/>
          <w:lang w:val="es-MX"/>
        </w:rPr>
        <w:t xml:space="preserve">personas de origen mexicano (ACS). Los conceptos de la escala fueron </w:t>
      </w:r>
      <w:r w:rsidR="006F27F1">
        <w:rPr>
          <w:rFonts w:eastAsia="Calibri"/>
          <w:lang w:val="es-MX"/>
        </w:rPr>
        <w:t>convertidos</w:t>
      </w:r>
      <w:r w:rsidR="00E5479E">
        <w:rPr>
          <w:rFonts w:eastAsia="Calibri"/>
          <w:lang w:val="es-MX"/>
        </w:rPr>
        <w:t xml:space="preserve"> a </w:t>
      </w:r>
      <w:r>
        <w:rPr>
          <w:rFonts w:eastAsia="Calibri"/>
          <w:lang w:val="es-MX"/>
        </w:rPr>
        <w:t>puntaje</w:t>
      </w:r>
      <w:r w:rsidRPr="001E7962">
        <w:rPr>
          <w:rFonts w:eastAsia="Calibri"/>
          <w:lang w:val="es-MX"/>
        </w:rPr>
        <w:t xml:space="preserve">-Z y se sacó el promedio. </w:t>
      </w:r>
      <w:r w:rsidR="004F6F7A">
        <w:rPr>
          <w:rFonts w:eastAsia="Calibri"/>
          <w:lang w:val="es-MX"/>
        </w:rPr>
        <w:t>Se sumaron</w:t>
      </w:r>
      <w:r w:rsidR="00E5479E">
        <w:rPr>
          <w:rFonts w:eastAsia="Calibri"/>
          <w:lang w:val="es-MX"/>
        </w:rPr>
        <w:t xml:space="preserve"> l</w:t>
      </w:r>
      <w:r w:rsidR="0038402C">
        <w:rPr>
          <w:rFonts w:eastAsia="Calibri"/>
          <w:lang w:val="es-MX"/>
        </w:rPr>
        <w:t>as respuestas de estos conceptos para crear una medida de escala</w:t>
      </w:r>
      <w:r>
        <w:rPr>
          <w:rFonts w:eastAsia="Calibri"/>
          <w:lang w:val="es-MX"/>
        </w:rPr>
        <w:t xml:space="preserve"> </w:t>
      </w:r>
      <w:r w:rsidR="006F27F1">
        <w:rPr>
          <w:rFonts w:eastAsia="Calibri"/>
          <w:lang w:val="es-MX"/>
        </w:rPr>
        <w:t xml:space="preserve">de </w:t>
      </w:r>
      <w:r>
        <w:rPr>
          <w:rFonts w:eastAsia="Calibri"/>
          <w:lang w:val="es-MX"/>
        </w:rPr>
        <w:t>“e</w:t>
      </w:r>
      <w:r w:rsidR="0038402C">
        <w:rPr>
          <w:lang w:val="es-MX"/>
        </w:rPr>
        <w:t>nclavismo</w:t>
      </w:r>
      <w:r>
        <w:rPr>
          <w:lang w:val="es-MX"/>
        </w:rPr>
        <w:t xml:space="preserve">”. </w:t>
      </w:r>
      <w:r w:rsidR="004F6F7A">
        <w:rPr>
          <w:lang w:val="es-MX"/>
        </w:rPr>
        <w:t>El</w:t>
      </w:r>
      <w:r w:rsidR="006F27F1">
        <w:rPr>
          <w:lang w:val="es-MX"/>
        </w:rPr>
        <w:t xml:space="preserve"> Alfa de </w:t>
      </w:r>
      <w:r w:rsidR="0038402C">
        <w:rPr>
          <w:lang w:val="es-MX"/>
        </w:rPr>
        <w:t>Cronbach para los conceptos</w:t>
      </w:r>
      <w:r w:rsidRPr="001E7962">
        <w:rPr>
          <w:lang w:val="es-MX"/>
        </w:rPr>
        <w:t xml:space="preserve"> </w:t>
      </w:r>
      <w:r w:rsidR="0038402C">
        <w:rPr>
          <w:lang w:val="es-MX"/>
        </w:rPr>
        <w:t>de enclavismo</w:t>
      </w:r>
      <w:r w:rsidRPr="001E7962">
        <w:rPr>
          <w:lang w:val="es-MX"/>
        </w:rPr>
        <w:t xml:space="preserve"> es .824.</w:t>
      </w:r>
      <w:r>
        <w:rPr>
          <w:lang w:val="es-MX"/>
        </w:rPr>
        <w:t xml:space="preserve"> El análisis d</w:t>
      </w:r>
      <w:r w:rsidR="009578EA">
        <w:rPr>
          <w:lang w:val="es-MX"/>
        </w:rPr>
        <w:t>el</w:t>
      </w:r>
      <w:r>
        <w:rPr>
          <w:lang w:val="es-MX"/>
        </w:rPr>
        <w:t xml:space="preserve"> </w:t>
      </w:r>
      <w:r>
        <w:rPr>
          <w:lang w:val="es-MX"/>
        </w:rPr>
        <w:lastRenderedPageBreak/>
        <w:t xml:space="preserve">factor extrajo un componente </w:t>
      </w:r>
      <w:r w:rsidR="0038402C">
        <w:rPr>
          <w:lang w:val="es-MX"/>
        </w:rPr>
        <w:t xml:space="preserve">único </w:t>
      </w:r>
      <w:r>
        <w:rPr>
          <w:lang w:val="es-MX"/>
        </w:rPr>
        <w:t xml:space="preserve">y la carga menor es </w:t>
      </w:r>
      <w:r w:rsidR="0038402C">
        <w:rPr>
          <w:lang w:val="es-MX"/>
        </w:rPr>
        <w:t xml:space="preserve">de </w:t>
      </w:r>
      <w:r>
        <w:rPr>
          <w:lang w:val="es-MX"/>
        </w:rPr>
        <w:t>.711.</w:t>
      </w:r>
      <w:r w:rsidR="0038402C">
        <w:rPr>
          <w:lang w:val="es-MX"/>
        </w:rPr>
        <w:t xml:space="preserve"> El análisis de origen determinó</w:t>
      </w:r>
      <w:r>
        <w:rPr>
          <w:lang w:val="es-MX"/>
        </w:rPr>
        <w:t xml:space="preserve"> que la influencia de </w:t>
      </w:r>
      <w:r w:rsidR="0038402C">
        <w:rPr>
          <w:lang w:val="es-MX"/>
        </w:rPr>
        <w:t xml:space="preserve">nivel </w:t>
      </w:r>
      <w:r w:rsidR="006F27F1">
        <w:rPr>
          <w:lang w:val="es-MX"/>
        </w:rPr>
        <w:t xml:space="preserve">de </w:t>
      </w:r>
      <w:r w:rsidR="004F6F7A">
        <w:rPr>
          <w:lang w:val="es-MX"/>
        </w:rPr>
        <w:t>“enclavismo” de</w:t>
      </w:r>
      <w:r w:rsidR="0038402C">
        <w:rPr>
          <w:lang w:val="es-MX"/>
        </w:rPr>
        <w:t xml:space="preserve"> un vecindario</w:t>
      </w:r>
      <w:r w:rsidR="004F6F7A">
        <w:rPr>
          <w:lang w:val="es-MX"/>
        </w:rPr>
        <w:t xml:space="preserve"> para ser</w:t>
      </w:r>
      <w:r w:rsidR="0038402C">
        <w:rPr>
          <w:lang w:val="es-MX"/>
        </w:rPr>
        <w:t xml:space="preserve"> cuestionado sobre su estatus de ciudadanía p</w:t>
      </w:r>
      <w:r w:rsidR="006F27F1">
        <w:rPr>
          <w:lang w:val="es-MX"/>
        </w:rPr>
        <w:t>or las agencias policiacas no es lineal, así</w:t>
      </w:r>
      <w:r w:rsidR="0038402C">
        <w:rPr>
          <w:lang w:val="es-MX"/>
        </w:rPr>
        <w:t xml:space="preserve"> que desarrollamos las variables ficticias que representan los vecindarios de bajo e</w:t>
      </w:r>
      <w:r w:rsidR="0038402C" w:rsidRPr="00E90C30">
        <w:rPr>
          <w:lang w:val="es-MX"/>
        </w:rPr>
        <w:t>nclave</w:t>
      </w:r>
      <w:r w:rsidR="0038402C">
        <w:rPr>
          <w:lang w:val="es-MX"/>
        </w:rPr>
        <w:t xml:space="preserve"> </w:t>
      </w:r>
      <w:r>
        <w:rPr>
          <w:lang w:val="es-MX"/>
        </w:rPr>
        <w:t>(1=punt</w:t>
      </w:r>
      <w:r w:rsidR="00E90C30">
        <w:rPr>
          <w:lang w:val="es-MX"/>
        </w:rPr>
        <w:t xml:space="preserve">uaciones-z representando un </w:t>
      </w:r>
      <w:r w:rsidR="004F6F7A">
        <w:rPr>
          <w:lang w:val="es-MX"/>
        </w:rPr>
        <w:t xml:space="preserve">bajo </w:t>
      </w:r>
      <w:r w:rsidR="00E90C30">
        <w:rPr>
          <w:lang w:val="es-MX"/>
        </w:rPr>
        <w:t>30%</w:t>
      </w:r>
      <w:r w:rsidR="004F6F7A">
        <w:rPr>
          <w:lang w:val="es-MX"/>
        </w:rPr>
        <w:t>; 0=lo contrario</w:t>
      </w:r>
      <w:r>
        <w:rPr>
          <w:lang w:val="es-MX"/>
        </w:rPr>
        <w:t>) y nivel medio</w:t>
      </w:r>
      <w:r w:rsidR="00E90C30">
        <w:rPr>
          <w:lang w:val="es-MX"/>
        </w:rPr>
        <w:t xml:space="preserve"> de</w:t>
      </w:r>
      <w:r>
        <w:rPr>
          <w:lang w:val="es-MX"/>
        </w:rPr>
        <w:t xml:space="preserve"> enclave (1=puntuac</w:t>
      </w:r>
      <w:r w:rsidR="004F6F7A">
        <w:rPr>
          <w:lang w:val="es-MX"/>
        </w:rPr>
        <w:t>iones-z entre 31 y 60%, 0= otro</w:t>
      </w:r>
      <w:r>
        <w:rPr>
          <w:lang w:val="es-MX"/>
        </w:rPr>
        <w:t xml:space="preserve"> (puntaje-z por encim</w:t>
      </w:r>
      <w:r w:rsidR="00E90C30">
        <w:rPr>
          <w:lang w:val="es-MX"/>
        </w:rPr>
        <w:t>a del 61 %</w:t>
      </w:r>
      <w:r>
        <w:rPr>
          <w:lang w:val="es-MX"/>
        </w:rPr>
        <w:t>)</w:t>
      </w:r>
      <w:r w:rsidR="006F27F1">
        <w:rPr>
          <w:lang w:val="es-MX"/>
        </w:rPr>
        <w:t>.</w:t>
      </w:r>
    </w:p>
    <w:p w14:paraId="74D7FCA2" w14:textId="66E1FEBF" w:rsidR="000F4977" w:rsidRPr="001E7962" w:rsidRDefault="001E7962" w:rsidP="00F0717A">
      <w:pPr>
        <w:jc w:val="both"/>
        <w:rPr>
          <w:lang w:val="es-MX"/>
        </w:rPr>
      </w:pPr>
      <w:r w:rsidRPr="001E7962">
        <w:rPr>
          <w:b/>
          <w:lang w:val="es-MX"/>
        </w:rPr>
        <w:t>Tabla</w:t>
      </w:r>
      <w:r w:rsidR="000F4977" w:rsidRPr="001E7962">
        <w:rPr>
          <w:b/>
          <w:lang w:val="es-MX"/>
        </w:rPr>
        <w:t xml:space="preserve"> 1. </w:t>
      </w:r>
      <w:r w:rsidR="004F6F7A">
        <w:rPr>
          <w:lang w:val="es-MX"/>
        </w:rPr>
        <w:t>Descripción de</w:t>
      </w:r>
      <w:r w:rsidRPr="001E7962">
        <w:rPr>
          <w:lang w:val="es-MX"/>
        </w:rPr>
        <w:t xml:space="preserve"> variables en el análisis</w:t>
      </w:r>
    </w:p>
    <w:tbl>
      <w:tblPr>
        <w:tblStyle w:val="MediumList2"/>
        <w:tblW w:w="4756" w:type="pct"/>
        <w:tblLook w:val="0460" w:firstRow="1" w:lastRow="1" w:firstColumn="0" w:lastColumn="0" w:noHBand="0" w:noVBand="1"/>
      </w:tblPr>
      <w:tblGrid>
        <w:gridCol w:w="1442"/>
        <w:gridCol w:w="2982"/>
        <w:gridCol w:w="1600"/>
        <w:gridCol w:w="576"/>
        <w:gridCol w:w="1252"/>
        <w:gridCol w:w="1257"/>
      </w:tblGrid>
      <w:tr w:rsidR="00884B06" w:rsidRPr="004F66C7" w14:paraId="2C6BAB2B" w14:textId="77777777" w:rsidTr="00874E20">
        <w:trPr>
          <w:cnfStyle w:val="100000000000" w:firstRow="1" w:lastRow="0" w:firstColumn="0" w:lastColumn="0" w:oddVBand="0" w:evenVBand="0" w:oddHBand="0" w:evenHBand="0" w:firstRowFirstColumn="0" w:firstRowLastColumn="0" w:lastRowFirstColumn="0" w:lastRowLastColumn="0"/>
          <w:trHeight w:val="438"/>
        </w:trPr>
        <w:tc>
          <w:tcPr>
            <w:tcW w:w="831" w:type="pct"/>
          </w:tcPr>
          <w:p w14:paraId="1D03BAEE" w14:textId="77777777" w:rsidR="000F4977" w:rsidRPr="001E7962" w:rsidRDefault="000F4977" w:rsidP="00F0717A">
            <w:pPr>
              <w:jc w:val="both"/>
              <w:rPr>
                <w:sz w:val="20"/>
                <w:szCs w:val="20"/>
                <w:lang w:val="es-MX"/>
              </w:rPr>
            </w:pPr>
          </w:p>
        </w:tc>
        <w:tc>
          <w:tcPr>
            <w:tcW w:w="1478" w:type="pct"/>
            <w:noWrap/>
          </w:tcPr>
          <w:p w14:paraId="3326FB7A" w14:textId="77777777" w:rsidR="000F4977" w:rsidRPr="001E7962" w:rsidRDefault="000F4977" w:rsidP="00F0717A">
            <w:pPr>
              <w:jc w:val="both"/>
              <w:rPr>
                <w:sz w:val="20"/>
                <w:szCs w:val="20"/>
                <w:lang w:val="es-MX"/>
              </w:rPr>
            </w:pPr>
          </w:p>
          <w:p w14:paraId="798A47F1" w14:textId="77777777" w:rsidR="000F4977" w:rsidRPr="004F66C7" w:rsidRDefault="000F4977" w:rsidP="00F0717A">
            <w:pPr>
              <w:jc w:val="both"/>
              <w:rPr>
                <w:sz w:val="20"/>
                <w:szCs w:val="20"/>
              </w:rPr>
            </w:pPr>
            <w:r w:rsidRPr="004F66C7">
              <w:rPr>
                <w:sz w:val="20"/>
                <w:szCs w:val="20"/>
              </w:rPr>
              <w:t>Variables</w:t>
            </w:r>
          </w:p>
        </w:tc>
        <w:tc>
          <w:tcPr>
            <w:tcW w:w="918" w:type="pct"/>
          </w:tcPr>
          <w:p w14:paraId="48F6D379" w14:textId="77777777" w:rsidR="000F4977" w:rsidRDefault="000F4977" w:rsidP="00F0717A">
            <w:pPr>
              <w:jc w:val="both"/>
              <w:rPr>
                <w:sz w:val="20"/>
                <w:szCs w:val="20"/>
              </w:rPr>
            </w:pPr>
          </w:p>
          <w:p w14:paraId="401BAA97" w14:textId="25F60684" w:rsidR="000F4977" w:rsidRPr="004F66C7" w:rsidRDefault="00884B06" w:rsidP="00F0717A">
            <w:pPr>
              <w:jc w:val="both"/>
              <w:rPr>
                <w:sz w:val="20"/>
                <w:szCs w:val="20"/>
              </w:rPr>
            </w:pPr>
            <w:r>
              <w:rPr>
                <w:sz w:val="20"/>
                <w:szCs w:val="20"/>
              </w:rPr>
              <w:t>Descripció</w:t>
            </w:r>
            <w:r w:rsidR="000F4977" w:rsidRPr="004F66C7">
              <w:rPr>
                <w:sz w:val="20"/>
                <w:szCs w:val="20"/>
              </w:rPr>
              <w:t>n</w:t>
            </w:r>
          </w:p>
        </w:tc>
        <w:tc>
          <w:tcPr>
            <w:tcW w:w="316" w:type="pct"/>
          </w:tcPr>
          <w:p w14:paraId="006C3056" w14:textId="77777777" w:rsidR="000F4977" w:rsidRDefault="000F4977" w:rsidP="00F0717A">
            <w:pPr>
              <w:jc w:val="both"/>
              <w:rPr>
                <w:sz w:val="20"/>
                <w:szCs w:val="20"/>
              </w:rPr>
            </w:pPr>
          </w:p>
          <w:p w14:paraId="5186FFAD" w14:textId="77777777" w:rsidR="000F4977" w:rsidRPr="004F66C7" w:rsidRDefault="000F4977" w:rsidP="00F0717A">
            <w:pPr>
              <w:jc w:val="both"/>
              <w:rPr>
                <w:sz w:val="20"/>
                <w:szCs w:val="20"/>
              </w:rPr>
            </w:pPr>
            <w:r>
              <w:rPr>
                <w:sz w:val="20"/>
                <w:szCs w:val="20"/>
              </w:rPr>
              <w:t>N</w:t>
            </w:r>
          </w:p>
        </w:tc>
        <w:tc>
          <w:tcPr>
            <w:tcW w:w="727" w:type="pct"/>
          </w:tcPr>
          <w:p w14:paraId="430B5EAC" w14:textId="77777777" w:rsidR="000F4977" w:rsidRDefault="000F4977" w:rsidP="00F0717A">
            <w:pPr>
              <w:jc w:val="both"/>
              <w:rPr>
                <w:sz w:val="20"/>
                <w:szCs w:val="20"/>
              </w:rPr>
            </w:pPr>
          </w:p>
          <w:p w14:paraId="263BD516" w14:textId="5C44DD89" w:rsidR="000F4977" w:rsidRPr="004F66C7" w:rsidRDefault="00884B06" w:rsidP="00F0717A">
            <w:pPr>
              <w:jc w:val="both"/>
              <w:rPr>
                <w:b/>
                <w:bCs/>
                <w:sz w:val="20"/>
                <w:szCs w:val="20"/>
              </w:rPr>
            </w:pPr>
            <w:r>
              <w:rPr>
                <w:sz w:val="20"/>
                <w:szCs w:val="20"/>
              </w:rPr>
              <w:t>Media</w:t>
            </w:r>
          </w:p>
        </w:tc>
        <w:tc>
          <w:tcPr>
            <w:tcW w:w="729" w:type="pct"/>
          </w:tcPr>
          <w:p w14:paraId="606A7658" w14:textId="77777777" w:rsidR="000F4977" w:rsidRDefault="000F4977" w:rsidP="00F0717A">
            <w:pPr>
              <w:jc w:val="both"/>
              <w:rPr>
                <w:sz w:val="20"/>
                <w:szCs w:val="20"/>
              </w:rPr>
            </w:pPr>
          </w:p>
          <w:p w14:paraId="6F4B0780" w14:textId="77777777" w:rsidR="000F4977" w:rsidRPr="004F66C7" w:rsidRDefault="000F4977" w:rsidP="00F0717A">
            <w:pPr>
              <w:jc w:val="both"/>
              <w:rPr>
                <w:sz w:val="20"/>
                <w:szCs w:val="20"/>
              </w:rPr>
            </w:pPr>
            <w:r>
              <w:rPr>
                <w:sz w:val="20"/>
                <w:szCs w:val="20"/>
              </w:rPr>
              <w:t>S.D.</w:t>
            </w:r>
          </w:p>
        </w:tc>
      </w:tr>
      <w:tr w:rsidR="00884B06" w:rsidRPr="004F66C7" w14:paraId="0448AA3F"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3992593A" w14:textId="77777777" w:rsidR="000F4977" w:rsidRPr="004F66C7" w:rsidRDefault="000F4977" w:rsidP="00F0717A">
            <w:pPr>
              <w:jc w:val="both"/>
              <w:rPr>
                <w:sz w:val="20"/>
                <w:szCs w:val="20"/>
              </w:rPr>
            </w:pPr>
          </w:p>
        </w:tc>
        <w:tc>
          <w:tcPr>
            <w:tcW w:w="1478" w:type="pct"/>
            <w:noWrap/>
          </w:tcPr>
          <w:p w14:paraId="3E75E049" w14:textId="20C5048C" w:rsidR="000F4977" w:rsidRPr="004F66C7" w:rsidRDefault="00884B06" w:rsidP="00F0717A">
            <w:pPr>
              <w:jc w:val="both"/>
              <w:rPr>
                <w:sz w:val="20"/>
                <w:szCs w:val="20"/>
              </w:rPr>
            </w:pPr>
            <w:r>
              <w:rPr>
                <w:sz w:val="20"/>
                <w:szCs w:val="20"/>
              </w:rPr>
              <w:t xml:space="preserve">    </w:t>
            </w:r>
            <w:r w:rsidR="000F4977" w:rsidRPr="004F66C7">
              <w:rPr>
                <w:sz w:val="20"/>
                <w:szCs w:val="20"/>
              </w:rPr>
              <w:t>Variable</w:t>
            </w:r>
            <w:r>
              <w:rPr>
                <w:sz w:val="20"/>
                <w:szCs w:val="20"/>
              </w:rPr>
              <w:t xml:space="preserve"> Dependiente</w:t>
            </w:r>
          </w:p>
        </w:tc>
        <w:tc>
          <w:tcPr>
            <w:tcW w:w="918" w:type="pct"/>
          </w:tcPr>
          <w:p w14:paraId="4B2A1EAB" w14:textId="77777777" w:rsidR="000F4977" w:rsidRPr="004F66C7" w:rsidRDefault="000F4977" w:rsidP="00F0717A">
            <w:pPr>
              <w:jc w:val="both"/>
              <w:rPr>
                <w:sz w:val="20"/>
                <w:szCs w:val="20"/>
              </w:rPr>
            </w:pPr>
          </w:p>
        </w:tc>
        <w:tc>
          <w:tcPr>
            <w:tcW w:w="316" w:type="pct"/>
          </w:tcPr>
          <w:p w14:paraId="29E77145" w14:textId="77777777" w:rsidR="000F4977" w:rsidRPr="004F66C7" w:rsidRDefault="000F4977" w:rsidP="00F0717A">
            <w:pPr>
              <w:jc w:val="both"/>
              <w:rPr>
                <w:sz w:val="20"/>
                <w:szCs w:val="20"/>
              </w:rPr>
            </w:pPr>
          </w:p>
        </w:tc>
        <w:tc>
          <w:tcPr>
            <w:tcW w:w="727" w:type="pct"/>
          </w:tcPr>
          <w:p w14:paraId="2EF1342B" w14:textId="77777777" w:rsidR="000F4977" w:rsidRPr="004F66C7" w:rsidRDefault="000F4977" w:rsidP="00F0717A">
            <w:pPr>
              <w:jc w:val="both"/>
              <w:rPr>
                <w:sz w:val="20"/>
                <w:szCs w:val="20"/>
              </w:rPr>
            </w:pPr>
          </w:p>
        </w:tc>
        <w:tc>
          <w:tcPr>
            <w:tcW w:w="729" w:type="pct"/>
          </w:tcPr>
          <w:p w14:paraId="766B0FC3" w14:textId="77777777" w:rsidR="000F4977" w:rsidRPr="004F66C7" w:rsidRDefault="000F4977" w:rsidP="00F0717A">
            <w:pPr>
              <w:jc w:val="both"/>
              <w:rPr>
                <w:sz w:val="20"/>
                <w:szCs w:val="20"/>
              </w:rPr>
            </w:pPr>
          </w:p>
        </w:tc>
      </w:tr>
      <w:tr w:rsidR="00884B06" w:rsidRPr="004F66C7" w14:paraId="5B1A394F" w14:textId="77777777" w:rsidTr="00874E20">
        <w:trPr>
          <w:trHeight w:val="438"/>
        </w:trPr>
        <w:tc>
          <w:tcPr>
            <w:tcW w:w="831" w:type="pct"/>
          </w:tcPr>
          <w:p w14:paraId="72B7F6D8" w14:textId="77777777" w:rsidR="000F4977" w:rsidRPr="004F66C7" w:rsidRDefault="000F4977" w:rsidP="00F0717A">
            <w:pPr>
              <w:jc w:val="both"/>
              <w:rPr>
                <w:sz w:val="20"/>
                <w:szCs w:val="20"/>
              </w:rPr>
            </w:pPr>
          </w:p>
        </w:tc>
        <w:tc>
          <w:tcPr>
            <w:tcW w:w="1478" w:type="pct"/>
            <w:noWrap/>
          </w:tcPr>
          <w:p w14:paraId="1685B302" w14:textId="0B11167A" w:rsidR="000F4977" w:rsidRPr="004F66C7" w:rsidRDefault="00884B06" w:rsidP="00F0717A">
            <w:pPr>
              <w:jc w:val="both"/>
              <w:rPr>
                <w:sz w:val="20"/>
                <w:szCs w:val="20"/>
              </w:rPr>
            </w:pPr>
            <w:r>
              <w:rPr>
                <w:sz w:val="20"/>
                <w:szCs w:val="20"/>
              </w:rPr>
              <w:t>Es</w:t>
            </w:r>
            <w:r w:rsidR="000F4977" w:rsidRPr="004F66C7">
              <w:rPr>
                <w:sz w:val="20"/>
                <w:szCs w:val="20"/>
              </w:rPr>
              <w:t>tatus</w:t>
            </w:r>
            <w:r>
              <w:rPr>
                <w:sz w:val="20"/>
                <w:szCs w:val="20"/>
              </w:rPr>
              <w:t xml:space="preserve"> preguntado</w:t>
            </w:r>
          </w:p>
        </w:tc>
        <w:tc>
          <w:tcPr>
            <w:tcW w:w="918" w:type="pct"/>
          </w:tcPr>
          <w:p w14:paraId="223114D7" w14:textId="1ED2A89E" w:rsidR="000F4977" w:rsidRPr="004F66C7" w:rsidRDefault="000F4977" w:rsidP="00F0717A">
            <w:pPr>
              <w:jc w:val="both"/>
              <w:rPr>
                <w:sz w:val="20"/>
                <w:szCs w:val="20"/>
              </w:rPr>
            </w:pPr>
            <w:r>
              <w:rPr>
                <w:sz w:val="20"/>
                <w:szCs w:val="20"/>
              </w:rPr>
              <w:t>0=No</w:t>
            </w:r>
            <w:r w:rsidRPr="004F66C7">
              <w:rPr>
                <w:sz w:val="20"/>
                <w:szCs w:val="20"/>
              </w:rPr>
              <w:t xml:space="preserve"> 1=</w:t>
            </w:r>
            <w:r w:rsidR="00884B06">
              <w:rPr>
                <w:sz w:val="20"/>
                <w:szCs w:val="20"/>
              </w:rPr>
              <w:t>Si</w:t>
            </w:r>
          </w:p>
        </w:tc>
        <w:tc>
          <w:tcPr>
            <w:tcW w:w="316" w:type="pct"/>
          </w:tcPr>
          <w:p w14:paraId="4FF95006" w14:textId="77777777" w:rsidR="000F4977" w:rsidRPr="004F66C7" w:rsidRDefault="000F4977" w:rsidP="00F0717A">
            <w:pPr>
              <w:jc w:val="both"/>
              <w:rPr>
                <w:sz w:val="20"/>
                <w:szCs w:val="20"/>
              </w:rPr>
            </w:pPr>
            <w:r>
              <w:rPr>
                <w:sz w:val="20"/>
                <w:szCs w:val="20"/>
              </w:rPr>
              <w:t>677</w:t>
            </w:r>
          </w:p>
        </w:tc>
        <w:tc>
          <w:tcPr>
            <w:tcW w:w="727" w:type="pct"/>
          </w:tcPr>
          <w:p w14:paraId="2A7FE0CE" w14:textId="77777777" w:rsidR="000F4977" w:rsidRPr="004F66C7" w:rsidRDefault="000F4977" w:rsidP="00F0717A">
            <w:pPr>
              <w:jc w:val="both"/>
              <w:rPr>
                <w:sz w:val="20"/>
                <w:szCs w:val="20"/>
              </w:rPr>
            </w:pPr>
            <w:r>
              <w:rPr>
                <w:sz w:val="20"/>
                <w:szCs w:val="20"/>
              </w:rPr>
              <w:t>.18</w:t>
            </w:r>
          </w:p>
        </w:tc>
        <w:tc>
          <w:tcPr>
            <w:tcW w:w="729" w:type="pct"/>
          </w:tcPr>
          <w:p w14:paraId="06E00486" w14:textId="77777777" w:rsidR="000F4977" w:rsidRPr="004F66C7" w:rsidRDefault="000F4977" w:rsidP="00F0717A">
            <w:pPr>
              <w:jc w:val="both"/>
              <w:rPr>
                <w:sz w:val="20"/>
                <w:szCs w:val="20"/>
              </w:rPr>
            </w:pPr>
            <w:r>
              <w:rPr>
                <w:sz w:val="20"/>
                <w:szCs w:val="20"/>
              </w:rPr>
              <w:t>.38</w:t>
            </w:r>
          </w:p>
        </w:tc>
      </w:tr>
      <w:tr w:rsidR="00884B06" w:rsidRPr="004F66C7" w14:paraId="006A3D44"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1815611F" w14:textId="174EF625" w:rsidR="000F4977" w:rsidRPr="00C51B6A" w:rsidRDefault="00884B06" w:rsidP="00F0717A">
            <w:pPr>
              <w:jc w:val="both"/>
              <w:rPr>
                <w:b/>
                <w:sz w:val="20"/>
                <w:szCs w:val="20"/>
              </w:rPr>
            </w:pPr>
            <w:r>
              <w:rPr>
                <w:b/>
                <w:sz w:val="20"/>
                <w:szCs w:val="20"/>
              </w:rPr>
              <w:t>NIVE</w:t>
            </w:r>
            <w:r w:rsidR="000F4977">
              <w:rPr>
                <w:b/>
                <w:sz w:val="20"/>
                <w:szCs w:val="20"/>
              </w:rPr>
              <w:t>L 1</w:t>
            </w:r>
          </w:p>
        </w:tc>
        <w:tc>
          <w:tcPr>
            <w:tcW w:w="1478" w:type="pct"/>
            <w:noWrap/>
          </w:tcPr>
          <w:p w14:paraId="073B9870" w14:textId="77777777" w:rsidR="000F4977" w:rsidRPr="004F66C7" w:rsidRDefault="000F4977" w:rsidP="00F0717A">
            <w:pPr>
              <w:jc w:val="both"/>
              <w:rPr>
                <w:i/>
                <w:sz w:val="20"/>
                <w:szCs w:val="20"/>
              </w:rPr>
            </w:pPr>
          </w:p>
          <w:p w14:paraId="1453C0AE" w14:textId="55245D7D" w:rsidR="000F4977" w:rsidRPr="004F66C7" w:rsidRDefault="00884B06" w:rsidP="00F0717A">
            <w:pPr>
              <w:jc w:val="both"/>
              <w:rPr>
                <w:i/>
                <w:sz w:val="20"/>
                <w:szCs w:val="20"/>
              </w:rPr>
            </w:pPr>
            <w:r>
              <w:rPr>
                <w:i/>
                <w:sz w:val="20"/>
                <w:szCs w:val="20"/>
              </w:rPr>
              <w:t>Nivel Individual</w:t>
            </w:r>
          </w:p>
        </w:tc>
        <w:tc>
          <w:tcPr>
            <w:tcW w:w="918" w:type="pct"/>
          </w:tcPr>
          <w:p w14:paraId="6C138B54" w14:textId="77777777" w:rsidR="000F4977" w:rsidRPr="004F66C7" w:rsidRDefault="000F4977" w:rsidP="00F0717A">
            <w:pPr>
              <w:jc w:val="both"/>
              <w:rPr>
                <w:rStyle w:val="SubtleEmphasis"/>
                <w:sz w:val="20"/>
                <w:szCs w:val="20"/>
              </w:rPr>
            </w:pPr>
          </w:p>
        </w:tc>
        <w:tc>
          <w:tcPr>
            <w:tcW w:w="316" w:type="pct"/>
          </w:tcPr>
          <w:p w14:paraId="44D51797" w14:textId="77777777" w:rsidR="000F4977" w:rsidRPr="004F66C7" w:rsidRDefault="000F4977" w:rsidP="00F0717A">
            <w:pPr>
              <w:jc w:val="both"/>
              <w:rPr>
                <w:rStyle w:val="SubtleEmphasis"/>
                <w:sz w:val="20"/>
                <w:szCs w:val="20"/>
              </w:rPr>
            </w:pPr>
          </w:p>
        </w:tc>
        <w:tc>
          <w:tcPr>
            <w:tcW w:w="727" w:type="pct"/>
          </w:tcPr>
          <w:p w14:paraId="3DF6E248" w14:textId="77777777" w:rsidR="000F4977" w:rsidRPr="004F66C7" w:rsidRDefault="000F4977" w:rsidP="00F0717A">
            <w:pPr>
              <w:jc w:val="both"/>
              <w:rPr>
                <w:rStyle w:val="SubtleEmphasis"/>
                <w:sz w:val="20"/>
                <w:szCs w:val="20"/>
              </w:rPr>
            </w:pPr>
          </w:p>
        </w:tc>
        <w:tc>
          <w:tcPr>
            <w:tcW w:w="729" w:type="pct"/>
          </w:tcPr>
          <w:p w14:paraId="4353C99C" w14:textId="77777777" w:rsidR="000F4977" w:rsidRPr="004F66C7" w:rsidRDefault="000F4977" w:rsidP="00F0717A">
            <w:pPr>
              <w:jc w:val="both"/>
              <w:rPr>
                <w:rStyle w:val="SubtleEmphasis"/>
                <w:sz w:val="20"/>
                <w:szCs w:val="20"/>
              </w:rPr>
            </w:pPr>
          </w:p>
        </w:tc>
      </w:tr>
      <w:tr w:rsidR="00884B06" w:rsidRPr="004F66C7" w14:paraId="5F3B5A86" w14:textId="77777777" w:rsidTr="00874E20">
        <w:trPr>
          <w:trHeight w:val="438"/>
        </w:trPr>
        <w:tc>
          <w:tcPr>
            <w:tcW w:w="831" w:type="pct"/>
          </w:tcPr>
          <w:p w14:paraId="06BD1A25" w14:textId="77777777" w:rsidR="000F4977" w:rsidRPr="004F66C7" w:rsidRDefault="000F4977" w:rsidP="00F0717A">
            <w:pPr>
              <w:jc w:val="both"/>
              <w:rPr>
                <w:sz w:val="20"/>
                <w:szCs w:val="20"/>
              </w:rPr>
            </w:pPr>
          </w:p>
        </w:tc>
        <w:tc>
          <w:tcPr>
            <w:tcW w:w="1478" w:type="pct"/>
            <w:noWrap/>
          </w:tcPr>
          <w:p w14:paraId="1FA0B903" w14:textId="16297D0F" w:rsidR="000F4977" w:rsidRPr="004F66C7" w:rsidRDefault="00884B06" w:rsidP="00F0717A">
            <w:pPr>
              <w:jc w:val="both"/>
              <w:rPr>
                <w:sz w:val="20"/>
                <w:szCs w:val="20"/>
              </w:rPr>
            </w:pPr>
            <w:r>
              <w:rPr>
                <w:sz w:val="20"/>
                <w:szCs w:val="20"/>
              </w:rPr>
              <w:t>Edad</w:t>
            </w:r>
          </w:p>
        </w:tc>
        <w:tc>
          <w:tcPr>
            <w:tcW w:w="918" w:type="pct"/>
          </w:tcPr>
          <w:p w14:paraId="73E67693" w14:textId="660B7C0F"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Continuo</w:t>
            </w:r>
          </w:p>
        </w:tc>
        <w:tc>
          <w:tcPr>
            <w:tcW w:w="316" w:type="pct"/>
          </w:tcPr>
          <w:p w14:paraId="6B5FDCB9"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57A39C44"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40.89</w:t>
            </w:r>
          </w:p>
        </w:tc>
        <w:tc>
          <w:tcPr>
            <w:tcW w:w="729" w:type="pct"/>
          </w:tcPr>
          <w:p w14:paraId="3AAECEAB"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15.38</w:t>
            </w:r>
          </w:p>
        </w:tc>
      </w:tr>
      <w:tr w:rsidR="00884B06" w:rsidRPr="004F66C7" w14:paraId="24A112FF" w14:textId="77777777" w:rsidTr="00874E20">
        <w:trPr>
          <w:cnfStyle w:val="000000100000" w:firstRow="0" w:lastRow="0" w:firstColumn="0" w:lastColumn="0" w:oddVBand="0" w:evenVBand="0" w:oddHBand="1" w:evenHBand="0" w:firstRowFirstColumn="0" w:firstRowLastColumn="0" w:lastRowFirstColumn="0" w:lastRowLastColumn="0"/>
          <w:trHeight w:val="458"/>
        </w:trPr>
        <w:tc>
          <w:tcPr>
            <w:tcW w:w="831" w:type="pct"/>
          </w:tcPr>
          <w:p w14:paraId="030CAFCF" w14:textId="77777777" w:rsidR="000F4977" w:rsidRPr="004F66C7" w:rsidRDefault="000F4977" w:rsidP="00F0717A">
            <w:pPr>
              <w:jc w:val="both"/>
              <w:rPr>
                <w:sz w:val="20"/>
                <w:szCs w:val="20"/>
              </w:rPr>
            </w:pPr>
          </w:p>
        </w:tc>
        <w:tc>
          <w:tcPr>
            <w:tcW w:w="1478" w:type="pct"/>
            <w:noWrap/>
          </w:tcPr>
          <w:p w14:paraId="18C1459C" w14:textId="50AF5F72" w:rsidR="000F4977" w:rsidRPr="004F66C7" w:rsidRDefault="000F4977" w:rsidP="00F0717A">
            <w:pPr>
              <w:jc w:val="both"/>
              <w:rPr>
                <w:sz w:val="20"/>
                <w:szCs w:val="20"/>
              </w:rPr>
            </w:pPr>
            <w:r w:rsidRPr="004F66C7">
              <w:rPr>
                <w:sz w:val="20"/>
                <w:szCs w:val="20"/>
              </w:rPr>
              <w:t>Sex</w:t>
            </w:r>
            <w:r w:rsidR="00884B06">
              <w:rPr>
                <w:sz w:val="20"/>
                <w:szCs w:val="20"/>
              </w:rPr>
              <w:t>o</w:t>
            </w:r>
          </w:p>
        </w:tc>
        <w:tc>
          <w:tcPr>
            <w:tcW w:w="918" w:type="pct"/>
          </w:tcPr>
          <w:p w14:paraId="499827FF" w14:textId="44BC529A" w:rsidR="000F4977" w:rsidRPr="004F66C7" w:rsidRDefault="004F6F7A"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0=</w:t>
            </w:r>
            <w:r w:rsidR="00884B06">
              <w:rPr>
                <w:rFonts w:ascii="Times New Roman" w:hAnsi="Times New Roman" w:cs="Times New Roman"/>
                <w:sz w:val="20"/>
                <w:szCs w:val="20"/>
              </w:rPr>
              <w:t>Femenino 1=Masculino</w:t>
            </w:r>
          </w:p>
        </w:tc>
        <w:tc>
          <w:tcPr>
            <w:tcW w:w="316" w:type="pct"/>
          </w:tcPr>
          <w:p w14:paraId="6D434690"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48F6F5DA"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.50</w:t>
            </w:r>
          </w:p>
        </w:tc>
        <w:tc>
          <w:tcPr>
            <w:tcW w:w="729" w:type="pct"/>
          </w:tcPr>
          <w:p w14:paraId="4542897B"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.50</w:t>
            </w:r>
          </w:p>
        </w:tc>
      </w:tr>
      <w:tr w:rsidR="00884B06" w:rsidRPr="004F66C7" w14:paraId="2ECAF2C9" w14:textId="77777777" w:rsidTr="00874E20">
        <w:trPr>
          <w:trHeight w:val="438"/>
        </w:trPr>
        <w:tc>
          <w:tcPr>
            <w:tcW w:w="831" w:type="pct"/>
          </w:tcPr>
          <w:p w14:paraId="526275E9" w14:textId="77777777" w:rsidR="000F4977" w:rsidRDefault="000F4977" w:rsidP="00F0717A">
            <w:pPr>
              <w:jc w:val="both"/>
              <w:rPr>
                <w:sz w:val="20"/>
                <w:szCs w:val="20"/>
              </w:rPr>
            </w:pPr>
          </w:p>
        </w:tc>
        <w:tc>
          <w:tcPr>
            <w:tcW w:w="1478" w:type="pct"/>
            <w:noWrap/>
          </w:tcPr>
          <w:p w14:paraId="26524B1B" w14:textId="021C4E78" w:rsidR="000F4977" w:rsidRPr="004F66C7" w:rsidRDefault="00884B06" w:rsidP="00F0717A">
            <w:pPr>
              <w:jc w:val="both"/>
              <w:rPr>
                <w:sz w:val="20"/>
                <w:szCs w:val="20"/>
              </w:rPr>
            </w:pPr>
            <w:r>
              <w:rPr>
                <w:sz w:val="20"/>
                <w:szCs w:val="20"/>
              </w:rPr>
              <w:t>Primera Generación</w:t>
            </w:r>
          </w:p>
        </w:tc>
        <w:tc>
          <w:tcPr>
            <w:tcW w:w="918" w:type="pct"/>
          </w:tcPr>
          <w:p w14:paraId="3E180E05" w14:textId="174AA2E7"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0= No 1=</w:t>
            </w:r>
            <w:r>
              <w:rPr>
                <w:sz w:val="20"/>
                <w:szCs w:val="20"/>
              </w:rPr>
              <w:t xml:space="preserve"> Si</w:t>
            </w:r>
          </w:p>
        </w:tc>
        <w:tc>
          <w:tcPr>
            <w:tcW w:w="316" w:type="pct"/>
          </w:tcPr>
          <w:p w14:paraId="3BDEAD09"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68A0F63A"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.25</w:t>
            </w:r>
          </w:p>
        </w:tc>
        <w:tc>
          <w:tcPr>
            <w:tcW w:w="729" w:type="pct"/>
          </w:tcPr>
          <w:p w14:paraId="0213059C"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.43</w:t>
            </w:r>
          </w:p>
        </w:tc>
      </w:tr>
      <w:tr w:rsidR="00884B06" w:rsidRPr="004F66C7" w14:paraId="295F3003"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3AD0DCF1" w14:textId="77777777" w:rsidR="000F4977" w:rsidRDefault="000F4977" w:rsidP="00F0717A">
            <w:pPr>
              <w:jc w:val="both"/>
              <w:rPr>
                <w:sz w:val="20"/>
                <w:szCs w:val="20"/>
              </w:rPr>
            </w:pPr>
          </w:p>
        </w:tc>
        <w:tc>
          <w:tcPr>
            <w:tcW w:w="1478" w:type="pct"/>
            <w:noWrap/>
          </w:tcPr>
          <w:p w14:paraId="79B8E4CF" w14:textId="081ACAED" w:rsidR="000F4977" w:rsidRPr="004F66C7" w:rsidRDefault="00884B06" w:rsidP="00F0717A">
            <w:pPr>
              <w:jc w:val="both"/>
              <w:rPr>
                <w:sz w:val="20"/>
                <w:szCs w:val="20"/>
              </w:rPr>
            </w:pPr>
            <w:r>
              <w:rPr>
                <w:sz w:val="20"/>
                <w:szCs w:val="20"/>
              </w:rPr>
              <w:t>Segunda Generación</w:t>
            </w:r>
          </w:p>
        </w:tc>
        <w:tc>
          <w:tcPr>
            <w:tcW w:w="918" w:type="pct"/>
          </w:tcPr>
          <w:p w14:paraId="452EE28B" w14:textId="18FBA0EF"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0=No 1=</w:t>
            </w:r>
            <w:r>
              <w:rPr>
                <w:sz w:val="20"/>
                <w:szCs w:val="20"/>
              </w:rPr>
              <w:t xml:space="preserve"> Si</w:t>
            </w:r>
          </w:p>
        </w:tc>
        <w:tc>
          <w:tcPr>
            <w:tcW w:w="316" w:type="pct"/>
          </w:tcPr>
          <w:p w14:paraId="32B5C663"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0288A048"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.28</w:t>
            </w:r>
          </w:p>
        </w:tc>
        <w:tc>
          <w:tcPr>
            <w:tcW w:w="729" w:type="pct"/>
          </w:tcPr>
          <w:p w14:paraId="4E79953D"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.45</w:t>
            </w:r>
          </w:p>
        </w:tc>
      </w:tr>
      <w:tr w:rsidR="00884B06" w:rsidRPr="004F66C7" w14:paraId="42177D5E" w14:textId="77777777" w:rsidTr="00874E20">
        <w:trPr>
          <w:trHeight w:val="438"/>
        </w:trPr>
        <w:tc>
          <w:tcPr>
            <w:tcW w:w="831" w:type="pct"/>
          </w:tcPr>
          <w:p w14:paraId="43C1AE51" w14:textId="77777777" w:rsidR="000F4977" w:rsidRDefault="000F4977" w:rsidP="00F0717A">
            <w:pPr>
              <w:jc w:val="both"/>
              <w:rPr>
                <w:sz w:val="20"/>
                <w:szCs w:val="20"/>
              </w:rPr>
            </w:pPr>
          </w:p>
        </w:tc>
        <w:tc>
          <w:tcPr>
            <w:tcW w:w="1478" w:type="pct"/>
            <w:noWrap/>
          </w:tcPr>
          <w:p w14:paraId="78494159" w14:textId="15B5DF67" w:rsidR="000F4977" w:rsidRPr="004F66C7" w:rsidRDefault="00884B06" w:rsidP="00F0717A">
            <w:pPr>
              <w:jc w:val="both"/>
              <w:rPr>
                <w:sz w:val="20"/>
                <w:szCs w:val="20"/>
              </w:rPr>
            </w:pPr>
            <w:r>
              <w:rPr>
                <w:sz w:val="20"/>
                <w:szCs w:val="20"/>
              </w:rPr>
              <w:t>Tercera Generación</w:t>
            </w:r>
          </w:p>
        </w:tc>
        <w:tc>
          <w:tcPr>
            <w:tcW w:w="918" w:type="pct"/>
          </w:tcPr>
          <w:p w14:paraId="2D5CF110" w14:textId="26F06529"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Referencia</w:t>
            </w:r>
          </w:p>
        </w:tc>
        <w:tc>
          <w:tcPr>
            <w:tcW w:w="316" w:type="pct"/>
          </w:tcPr>
          <w:p w14:paraId="6198C4B5"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677</w:t>
            </w:r>
          </w:p>
        </w:tc>
        <w:tc>
          <w:tcPr>
            <w:tcW w:w="727" w:type="pct"/>
          </w:tcPr>
          <w:p w14:paraId="3CBF420D" w14:textId="77777777" w:rsidR="000F4977" w:rsidRPr="004F66C7" w:rsidRDefault="000F4977" w:rsidP="00F0717A">
            <w:pPr>
              <w:pStyle w:val="DecimalAligned"/>
              <w:jc w:val="both"/>
              <w:rPr>
                <w:rFonts w:ascii="Times New Roman" w:hAnsi="Times New Roman" w:cs="Times New Roman"/>
                <w:sz w:val="20"/>
                <w:szCs w:val="20"/>
              </w:rPr>
            </w:pPr>
          </w:p>
        </w:tc>
        <w:tc>
          <w:tcPr>
            <w:tcW w:w="729" w:type="pct"/>
          </w:tcPr>
          <w:p w14:paraId="1055AE96" w14:textId="77777777" w:rsidR="000F4977" w:rsidRPr="004F66C7" w:rsidRDefault="000F4977" w:rsidP="00F0717A">
            <w:pPr>
              <w:pStyle w:val="DecimalAligned"/>
              <w:jc w:val="both"/>
              <w:rPr>
                <w:rFonts w:ascii="Times New Roman" w:hAnsi="Times New Roman" w:cs="Times New Roman"/>
                <w:sz w:val="20"/>
                <w:szCs w:val="20"/>
              </w:rPr>
            </w:pPr>
          </w:p>
        </w:tc>
      </w:tr>
      <w:tr w:rsidR="00884B06" w:rsidRPr="004F66C7" w14:paraId="1AC34163" w14:textId="77777777" w:rsidTr="00874E20">
        <w:trPr>
          <w:cnfStyle w:val="000000100000" w:firstRow="0" w:lastRow="0" w:firstColumn="0" w:lastColumn="0" w:oddVBand="0" w:evenVBand="0" w:oddHBand="1" w:evenHBand="0" w:firstRowFirstColumn="0" w:firstRowLastColumn="0" w:lastRowFirstColumn="0" w:lastRowLastColumn="0"/>
          <w:trHeight w:val="438"/>
        </w:trPr>
        <w:tc>
          <w:tcPr>
            <w:tcW w:w="831" w:type="pct"/>
          </w:tcPr>
          <w:p w14:paraId="1A3166ED" w14:textId="77777777" w:rsidR="000F4977" w:rsidRPr="004F66C7" w:rsidRDefault="000F4977" w:rsidP="00F0717A">
            <w:pPr>
              <w:jc w:val="both"/>
              <w:rPr>
                <w:sz w:val="20"/>
                <w:szCs w:val="20"/>
              </w:rPr>
            </w:pPr>
          </w:p>
        </w:tc>
        <w:tc>
          <w:tcPr>
            <w:tcW w:w="1478" w:type="pct"/>
            <w:noWrap/>
          </w:tcPr>
          <w:p w14:paraId="74465B86" w14:textId="77777777" w:rsidR="000F4977" w:rsidRPr="004F66C7" w:rsidRDefault="000F4977" w:rsidP="00F0717A">
            <w:pPr>
              <w:jc w:val="both"/>
              <w:rPr>
                <w:sz w:val="20"/>
                <w:szCs w:val="20"/>
              </w:rPr>
            </w:pPr>
          </w:p>
        </w:tc>
        <w:tc>
          <w:tcPr>
            <w:tcW w:w="918" w:type="pct"/>
          </w:tcPr>
          <w:p w14:paraId="4A32242E" w14:textId="77777777" w:rsidR="000F4977" w:rsidRPr="004F66C7" w:rsidRDefault="000F4977" w:rsidP="00F0717A">
            <w:pPr>
              <w:pStyle w:val="DecimalAligned"/>
              <w:jc w:val="both"/>
              <w:rPr>
                <w:rFonts w:ascii="Times New Roman" w:hAnsi="Times New Roman" w:cs="Times New Roman"/>
                <w:sz w:val="20"/>
                <w:szCs w:val="20"/>
              </w:rPr>
            </w:pPr>
          </w:p>
        </w:tc>
        <w:tc>
          <w:tcPr>
            <w:tcW w:w="316" w:type="pct"/>
          </w:tcPr>
          <w:p w14:paraId="00A2E656" w14:textId="77777777" w:rsidR="000F4977" w:rsidRPr="004F66C7" w:rsidRDefault="000F4977" w:rsidP="00F0717A">
            <w:pPr>
              <w:pStyle w:val="DecimalAligned"/>
              <w:jc w:val="both"/>
              <w:rPr>
                <w:rFonts w:ascii="Times New Roman" w:hAnsi="Times New Roman" w:cs="Times New Roman"/>
                <w:sz w:val="20"/>
                <w:szCs w:val="20"/>
              </w:rPr>
            </w:pPr>
          </w:p>
        </w:tc>
        <w:tc>
          <w:tcPr>
            <w:tcW w:w="727" w:type="pct"/>
          </w:tcPr>
          <w:p w14:paraId="046B1AC2" w14:textId="77777777" w:rsidR="000F4977" w:rsidRPr="004F66C7" w:rsidRDefault="000F4977" w:rsidP="00F0717A">
            <w:pPr>
              <w:pStyle w:val="DecimalAligned"/>
              <w:jc w:val="both"/>
              <w:rPr>
                <w:rFonts w:ascii="Times New Roman" w:hAnsi="Times New Roman" w:cs="Times New Roman"/>
                <w:sz w:val="20"/>
                <w:szCs w:val="20"/>
              </w:rPr>
            </w:pPr>
          </w:p>
        </w:tc>
        <w:tc>
          <w:tcPr>
            <w:tcW w:w="729" w:type="pct"/>
          </w:tcPr>
          <w:p w14:paraId="1BEE29B8" w14:textId="77777777" w:rsidR="000F4977" w:rsidRPr="004F66C7" w:rsidRDefault="000F4977" w:rsidP="00F0717A">
            <w:pPr>
              <w:pStyle w:val="DecimalAligned"/>
              <w:jc w:val="both"/>
              <w:rPr>
                <w:rFonts w:ascii="Times New Roman" w:hAnsi="Times New Roman" w:cs="Times New Roman"/>
                <w:sz w:val="20"/>
                <w:szCs w:val="20"/>
              </w:rPr>
            </w:pPr>
          </w:p>
        </w:tc>
      </w:tr>
      <w:tr w:rsidR="00884B06" w:rsidRPr="004F66C7" w14:paraId="2E29E2AC" w14:textId="77777777" w:rsidTr="00874E20">
        <w:trPr>
          <w:trHeight w:val="458"/>
        </w:trPr>
        <w:tc>
          <w:tcPr>
            <w:tcW w:w="831" w:type="pct"/>
          </w:tcPr>
          <w:p w14:paraId="4FB04460" w14:textId="1456F206" w:rsidR="000F4977" w:rsidRPr="00C51B6A" w:rsidRDefault="00884B06" w:rsidP="00F0717A">
            <w:pPr>
              <w:jc w:val="both"/>
              <w:rPr>
                <w:b/>
                <w:sz w:val="20"/>
                <w:szCs w:val="20"/>
              </w:rPr>
            </w:pPr>
            <w:r>
              <w:rPr>
                <w:b/>
                <w:sz w:val="20"/>
                <w:szCs w:val="20"/>
              </w:rPr>
              <w:t>NIVEL</w:t>
            </w:r>
            <w:r w:rsidR="000F4977">
              <w:rPr>
                <w:b/>
                <w:sz w:val="20"/>
                <w:szCs w:val="20"/>
              </w:rPr>
              <w:t xml:space="preserve"> 2</w:t>
            </w:r>
          </w:p>
        </w:tc>
        <w:tc>
          <w:tcPr>
            <w:tcW w:w="1478" w:type="pct"/>
            <w:noWrap/>
          </w:tcPr>
          <w:p w14:paraId="383BEB0F" w14:textId="73F7DED2" w:rsidR="000F4977" w:rsidRPr="004F66C7" w:rsidRDefault="00884B06" w:rsidP="00F0717A">
            <w:pPr>
              <w:jc w:val="both"/>
              <w:rPr>
                <w:i/>
                <w:sz w:val="20"/>
                <w:szCs w:val="20"/>
              </w:rPr>
            </w:pPr>
            <w:r>
              <w:rPr>
                <w:i/>
                <w:sz w:val="20"/>
                <w:szCs w:val="20"/>
              </w:rPr>
              <w:t>Nivel de Vecindario</w:t>
            </w:r>
          </w:p>
        </w:tc>
        <w:tc>
          <w:tcPr>
            <w:tcW w:w="918" w:type="pct"/>
          </w:tcPr>
          <w:p w14:paraId="6DB567F4" w14:textId="77777777" w:rsidR="000F4977" w:rsidRPr="004F66C7" w:rsidRDefault="000F4977" w:rsidP="00F0717A">
            <w:pPr>
              <w:jc w:val="both"/>
              <w:rPr>
                <w:rStyle w:val="SubtleEmphasis"/>
                <w:sz w:val="20"/>
                <w:szCs w:val="20"/>
              </w:rPr>
            </w:pPr>
          </w:p>
        </w:tc>
        <w:tc>
          <w:tcPr>
            <w:tcW w:w="316" w:type="pct"/>
          </w:tcPr>
          <w:p w14:paraId="6361DCBF" w14:textId="77777777" w:rsidR="000F4977" w:rsidRPr="004F66C7" w:rsidRDefault="000F4977" w:rsidP="00F0717A">
            <w:pPr>
              <w:jc w:val="both"/>
              <w:rPr>
                <w:rStyle w:val="SubtleEmphasis"/>
                <w:sz w:val="20"/>
                <w:szCs w:val="20"/>
              </w:rPr>
            </w:pPr>
          </w:p>
        </w:tc>
        <w:tc>
          <w:tcPr>
            <w:tcW w:w="727" w:type="pct"/>
          </w:tcPr>
          <w:p w14:paraId="3C5E74D0" w14:textId="77777777" w:rsidR="000F4977" w:rsidRPr="004F66C7" w:rsidRDefault="000F4977" w:rsidP="00F0717A">
            <w:pPr>
              <w:jc w:val="both"/>
              <w:rPr>
                <w:rStyle w:val="SubtleEmphasis"/>
                <w:sz w:val="20"/>
                <w:szCs w:val="20"/>
              </w:rPr>
            </w:pPr>
          </w:p>
        </w:tc>
        <w:tc>
          <w:tcPr>
            <w:tcW w:w="729" w:type="pct"/>
          </w:tcPr>
          <w:p w14:paraId="0EB418D9" w14:textId="77777777" w:rsidR="000F4977" w:rsidRPr="004F66C7" w:rsidRDefault="000F4977" w:rsidP="00F0717A">
            <w:pPr>
              <w:jc w:val="both"/>
              <w:rPr>
                <w:rStyle w:val="SubtleEmphasis"/>
                <w:sz w:val="20"/>
                <w:szCs w:val="20"/>
              </w:rPr>
            </w:pPr>
          </w:p>
        </w:tc>
      </w:tr>
      <w:tr w:rsidR="00884B06" w:rsidRPr="004F66C7" w14:paraId="26E57F1C" w14:textId="77777777" w:rsidTr="00874E20">
        <w:trPr>
          <w:cnfStyle w:val="000000100000" w:firstRow="0" w:lastRow="0" w:firstColumn="0" w:lastColumn="0" w:oddVBand="0" w:evenVBand="0" w:oddHBand="1" w:evenHBand="0" w:firstRowFirstColumn="0" w:firstRowLastColumn="0" w:lastRowFirstColumn="0" w:lastRowLastColumn="0"/>
          <w:trHeight w:val="240"/>
        </w:trPr>
        <w:tc>
          <w:tcPr>
            <w:tcW w:w="831" w:type="pct"/>
          </w:tcPr>
          <w:p w14:paraId="17E9AFE9" w14:textId="77777777" w:rsidR="000F4977" w:rsidRPr="004F66C7" w:rsidRDefault="000F4977" w:rsidP="00F0717A">
            <w:pPr>
              <w:jc w:val="both"/>
              <w:rPr>
                <w:sz w:val="20"/>
                <w:szCs w:val="20"/>
              </w:rPr>
            </w:pPr>
          </w:p>
        </w:tc>
        <w:tc>
          <w:tcPr>
            <w:tcW w:w="1478" w:type="pct"/>
            <w:noWrap/>
          </w:tcPr>
          <w:p w14:paraId="7B0E45CC" w14:textId="043BA7FE" w:rsidR="000F4977" w:rsidRPr="004F66C7" w:rsidRDefault="00884B06" w:rsidP="00F0717A">
            <w:pPr>
              <w:jc w:val="both"/>
              <w:rPr>
                <w:sz w:val="20"/>
                <w:szCs w:val="20"/>
              </w:rPr>
            </w:pPr>
            <w:r>
              <w:rPr>
                <w:sz w:val="20"/>
                <w:szCs w:val="20"/>
              </w:rPr>
              <w:t>Enclavismo Cuantitativo</w:t>
            </w:r>
            <w:r w:rsidR="000F4977" w:rsidRPr="004F66C7">
              <w:rPr>
                <w:sz w:val="20"/>
                <w:szCs w:val="20"/>
              </w:rPr>
              <w:t xml:space="preserve"> </w:t>
            </w:r>
          </w:p>
          <w:p w14:paraId="6D98A03D" w14:textId="0E163B16" w:rsidR="000F4977" w:rsidRPr="004F66C7" w:rsidRDefault="00884B06" w:rsidP="00F0717A">
            <w:pPr>
              <w:jc w:val="both"/>
              <w:rPr>
                <w:sz w:val="20"/>
                <w:szCs w:val="20"/>
              </w:rPr>
            </w:pPr>
            <w:r>
              <w:rPr>
                <w:sz w:val="20"/>
                <w:szCs w:val="20"/>
              </w:rPr>
              <w:t>Escala baja</w:t>
            </w:r>
          </w:p>
        </w:tc>
        <w:tc>
          <w:tcPr>
            <w:tcW w:w="918" w:type="pct"/>
          </w:tcPr>
          <w:p w14:paraId="13482B0A" w14:textId="36FE5E5B"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0=No 1=</w:t>
            </w:r>
            <w:r>
              <w:rPr>
                <w:sz w:val="20"/>
                <w:szCs w:val="20"/>
              </w:rPr>
              <w:t xml:space="preserve"> Si</w:t>
            </w:r>
          </w:p>
        </w:tc>
        <w:tc>
          <w:tcPr>
            <w:tcW w:w="316" w:type="pct"/>
          </w:tcPr>
          <w:p w14:paraId="52A7E13E"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0D78F3B9"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.30</w:t>
            </w:r>
          </w:p>
        </w:tc>
        <w:tc>
          <w:tcPr>
            <w:tcW w:w="729" w:type="pct"/>
          </w:tcPr>
          <w:p w14:paraId="742ABEC5"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.47</w:t>
            </w:r>
          </w:p>
        </w:tc>
      </w:tr>
      <w:tr w:rsidR="00884B06" w:rsidRPr="004F66C7" w14:paraId="6F7F2F7C" w14:textId="77777777" w:rsidTr="00874E20">
        <w:trPr>
          <w:trHeight w:val="240"/>
        </w:trPr>
        <w:tc>
          <w:tcPr>
            <w:tcW w:w="831" w:type="pct"/>
          </w:tcPr>
          <w:p w14:paraId="4D4A0C18" w14:textId="77777777" w:rsidR="000F4977" w:rsidRPr="004F66C7" w:rsidRDefault="000F4977" w:rsidP="00F0717A">
            <w:pPr>
              <w:jc w:val="both"/>
              <w:rPr>
                <w:sz w:val="20"/>
                <w:szCs w:val="20"/>
              </w:rPr>
            </w:pPr>
          </w:p>
        </w:tc>
        <w:tc>
          <w:tcPr>
            <w:tcW w:w="1478" w:type="pct"/>
            <w:noWrap/>
          </w:tcPr>
          <w:p w14:paraId="0717CD67" w14:textId="77777777" w:rsidR="00884B06" w:rsidRPr="004F66C7" w:rsidRDefault="00884B06" w:rsidP="00F0717A">
            <w:pPr>
              <w:jc w:val="both"/>
              <w:rPr>
                <w:sz w:val="20"/>
                <w:szCs w:val="20"/>
              </w:rPr>
            </w:pPr>
            <w:r>
              <w:rPr>
                <w:sz w:val="20"/>
                <w:szCs w:val="20"/>
              </w:rPr>
              <w:t>Enclavismo Cuantitativo</w:t>
            </w:r>
            <w:r w:rsidRPr="004F66C7">
              <w:rPr>
                <w:sz w:val="20"/>
                <w:szCs w:val="20"/>
              </w:rPr>
              <w:t xml:space="preserve"> </w:t>
            </w:r>
          </w:p>
          <w:p w14:paraId="2FD8EC2E" w14:textId="63F4924A" w:rsidR="000F4977" w:rsidRPr="004F66C7" w:rsidRDefault="00884B06" w:rsidP="00F0717A">
            <w:pPr>
              <w:jc w:val="both"/>
              <w:rPr>
                <w:sz w:val="20"/>
                <w:szCs w:val="20"/>
              </w:rPr>
            </w:pPr>
            <w:r>
              <w:rPr>
                <w:sz w:val="20"/>
                <w:szCs w:val="20"/>
              </w:rPr>
              <w:t>Escala mediana</w:t>
            </w:r>
          </w:p>
        </w:tc>
        <w:tc>
          <w:tcPr>
            <w:tcW w:w="918" w:type="pct"/>
          </w:tcPr>
          <w:p w14:paraId="2FE9802C" w14:textId="245C3416"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0=No 1=</w:t>
            </w:r>
            <w:r>
              <w:rPr>
                <w:sz w:val="20"/>
                <w:szCs w:val="20"/>
              </w:rPr>
              <w:t xml:space="preserve"> Si</w:t>
            </w:r>
          </w:p>
        </w:tc>
        <w:tc>
          <w:tcPr>
            <w:tcW w:w="316" w:type="pct"/>
          </w:tcPr>
          <w:p w14:paraId="2BE6DB32"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5273E461"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.33</w:t>
            </w:r>
          </w:p>
        </w:tc>
        <w:tc>
          <w:tcPr>
            <w:tcW w:w="729" w:type="pct"/>
          </w:tcPr>
          <w:p w14:paraId="430D4790"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.47</w:t>
            </w:r>
          </w:p>
        </w:tc>
      </w:tr>
      <w:tr w:rsidR="00884B06" w:rsidRPr="004F66C7" w14:paraId="7980D517" w14:textId="77777777" w:rsidTr="00874E20">
        <w:trPr>
          <w:cnfStyle w:val="000000100000" w:firstRow="0" w:lastRow="0" w:firstColumn="0" w:lastColumn="0" w:oddVBand="0" w:evenVBand="0" w:oddHBand="1" w:evenHBand="0" w:firstRowFirstColumn="0" w:firstRowLastColumn="0" w:lastRowFirstColumn="0" w:lastRowLastColumn="0"/>
          <w:trHeight w:val="240"/>
        </w:trPr>
        <w:tc>
          <w:tcPr>
            <w:tcW w:w="831" w:type="pct"/>
          </w:tcPr>
          <w:p w14:paraId="7D4D8F85" w14:textId="77777777" w:rsidR="000F4977" w:rsidRPr="004F66C7" w:rsidRDefault="000F4977" w:rsidP="00F0717A">
            <w:pPr>
              <w:jc w:val="both"/>
              <w:rPr>
                <w:sz w:val="20"/>
                <w:szCs w:val="20"/>
              </w:rPr>
            </w:pPr>
          </w:p>
        </w:tc>
        <w:tc>
          <w:tcPr>
            <w:tcW w:w="1478" w:type="pct"/>
            <w:noWrap/>
          </w:tcPr>
          <w:p w14:paraId="372FAD47" w14:textId="77777777" w:rsidR="00884B06" w:rsidRPr="004F66C7" w:rsidRDefault="00884B06" w:rsidP="00F0717A">
            <w:pPr>
              <w:jc w:val="both"/>
              <w:rPr>
                <w:sz w:val="20"/>
                <w:szCs w:val="20"/>
              </w:rPr>
            </w:pPr>
            <w:r>
              <w:rPr>
                <w:sz w:val="20"/>
                <w:szCs w:val="20"/>
              </w:rPr>
              <w:t>Enclavismo Cuantitativo</w:t>
            </w:r>
            <w:r w:rsidRPr="004F66C7">
              <w:rPr>
                <w:sz w:val="20"/>
                <w:szCs w:val="20"/>
              </w:rPr>
              <w:t xml:space="preserve"> </w:t>
            </w:r>
          </w:p>
          <w:p w14:paraId="2E034727" w14:textId="19A60F1A" w:rsidR="000F4977" w:rsidRPr="004F66C7" w:rsidRDefault="00884B06" w:rsidP="00F0717A">
            <w:pPr>
              <w:jc w:val="both"/>
              <w:rPr>
                <w:sz w:val="20"/>
                <w:szCs w:val="20"/>
              </w:rPr>
            </w:pPr>
            <w:r>
              <w:rPr>
                <w:sz w:val="20"/>
                <w:szCs w:val="20"/>
              </w:rPr>
              <w:t>Escala grande</w:t>
            </w:r>
            <w:r w:rsidR="000F4977" w:rsidRPr="004F66C7">
              <w:rPr>
                <w:sz w:val="20"/>
                <w:szCs w:val="20"/>
              </w:rPr>
              <w:t xml:space="preserve">  </w:t>
            </w:r>
          </w:p>
        </w:tc>
        <w:tc>
          <w:tcPr>
            <w:tcW w:w="918" w:type="pct"/>
          </w:tcPr>
          <w:p w14:paraId="4ECD6BB3" w14:textId="0E6ECBA5" w:rsidR="000F4977" w:rsidRPr="004F66C7" w:rsidRDefault="004F6F7A"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Referencia</w:t>
            </w:r>
            <w:r w:rsidR="000F4977">
              <w:rPr>
                <w:rFonts w:ascii="Times New Roman" w:hAnsi="Times New Roman" w:cs="Times New Roman"/>
                <w:sz w:val="20"/>
                <w:szCs w:val="20"/>
              </w:rPr>
              <w:t xml:space="preserve"> </w:t>
            </w:r>
          </w:p>
        </w:tc>
        <w:tc>
          <w:tcPr>
            <w:tcW w:w="316" w:type="pct"/>
          </w:tcPr>
          <w:p w14:paraId="39A98546"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376AA0B4"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.37</w:t>
            </w:r>
          </w:p>
        </w:tc>
        <w:tc>
          <w:tcPr>
            <w:tcW w:w="729" w:type="pct"/>
          </w:tcPr>
          <w:p w14:paraId="10A3DDCE"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.49</w:t>
            </w:r>
          </w:p>
        </w:tc>
      </w:tr>
      <w:tr w:rsidR="00884B06" w:rsidRPr="004F66C7" w14:paraId="14E670AD" w14:textId="77777777" w:rsidTr="00874E20">
        <w:trPr>
          <w:trHeight w:val="240"/>
        </w:trPr>
        <w:tc>
          <w:tcPr>
            <w:tcW w:w="831" w:type="pct"/>
          </w:tcPr>
          <w:p w14:paraId="5E7BC878" w14:textId="77777777" w:rsidR="000F4977" w:rsidRPr="004F66C7" w:rsidRDefault="000F4977" w:rsidP="00F0717A">
            <w:pPr>
              <w:jc w:val="both"/>
              <w:rPr>
                <w:sz w:val="20"/>
                <w:szCs w:val="20"/>
              </w:rPr>
            </w:pPr>
          </w:p>
        </w:tc>
        <w:tc>
          <w:tcPr>
            <w:tcW w:w="1478" w:type="pct"/>
            <w:noWrap/>
          </w:tcPr>
          <w:p w14:paraId="4DC679D6" w14:textId="5D2494D7" w:rsidR="000F4977" w:rsidRPr="00AF29E6" w:rsidRDefault="00884B06" w:rsidP="00F0717A">
            <w:pPr>
              <w:jc w:val="both"/>
              <w:rPr>
                <w:sz w:val="20"/>
                <w:szCs w:val="20"/>
                <w:lang w:val="es-MX"/>
              </w:rPr>
            </w:pPr>
            <w:r w:rsidRPr="00AF29E6">
              <w:rPr>
                <w:sz w:val="20"/>
                <w:szCs w:val="20"/>
                <w:lang w:val="es-MX"/>
              </w:rPr>
              <w:t>Porcentaje de viviendas que ganan</w:t>
            </w:r>
          </w:p>
          <w:p w14:paraId="523CE334" w14:textId="7B50A5BD" w:rsidR="000F4977" w:rsidRPr="00AF29E6" w:rsidRDefault="004F6F7A" w:rsidP="00F0717A">
            <w:pPr>
              <w:jc w:val="both"/>
              <w:rPr>
                <w:sz w:val="20"/>
                <w:szCs w:val="20"/>
                <w:lang w:val="es-MX"/>
              </w:rPr>
            </w:pPr>
            <w:r>
              <w:rPr>
                <w:sz w:val="20"/>
                <w:szCs w:val="20"/>
                <w:lang w:val="es-MX"/>
              </w:rPr>
              <w:t>m</w:t>
            </w:r>
            <w:r w:rsidR="00884B06" w:rsidRPr="00AF29E6">
              <w:rPr>
                <w:sz w:val="20"/>
                <w:szCs w:val="20"/>
                <w:lang w:val="es-MX"/>
              </w:rPr>
              <w:t>enos de</w:t>
            </w:r>
            <w:r w:rsidR="000F4977" w:rsidRPr="00AF29E6">
              <w:rPr>
                <w:sz w:val="20"/>
                <w:szCs w:val="20"/>
                <w:lang w:val="es-MX"/>
              </w:rPr>
              <w:t xml:space="preserve"> $10,000 </w:t>
            </w:r>
          </w:p>
        </w:tc>
        <w:tc>
          <w:tcPr>
            <w:tcW w:w="918" w:type="pct"/>
          </w:tcPr>
          <w:p w14:paraId="04E52147" w14:textId="4F7ED96A" w:rsidR="000F4977" w:rsidRPr="004F66C7" w:rsidRDefault="00884B06"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Continuo</w:t>
            </w:r>
          </w:p>
        </w:tc>
        <w:tc>
          <w:tcPr>
            <w:tcW w:w="316" w:type="pct"/>
          </w:tcPr>
          <w:p w14:paraId="653A5D09"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46</w:t>
            </w:r>
          </w:p>
        </w:tc>
        <w:tc>
          <w:tcPr>
            <w:tcW w:w="727" w:type="pct"/>
          </w:tcPr>
          <w:p w14:paraId="0B0FFD9C"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11.42</w:t>
            </w:r>
          </w:p>
        </w:tc>
        <w:tc>
          <w:tcPr>
            <w:tcW w:w="729" w:type="pct"/>
          </w:tcPr>
          <w:p w14:paraId="7F810D41" w14:textId="77777777" w:rsidR="000F4977" w:rsidRPr="004F66C7" w:rsidRDefault="000F4977" w:rsidP="00F0717A">
            <w:pPr>
              <w:pStyle w:val="DecimalAligned"/>
              <w:jc w:val="both"/>
              <w:rPr>
                <w:rFonts w:ascii="Times New Roman" w:hAnsi="Times New Roman" w:cs="Times New Roman"/>
                <w:sz w:val="20"/>
                <w:szCs w:val="20"/>
              </w:rPr>
            </w:pPr>
            <w:r>
              <w:rPr>
                <w:rFonts w:ascii="Times New Roman" w:hAnsi="Times New Roman" w:cs="Times New Roman"/>
                <w:sz w:val="20"/>
                <w:szCs w:val="20"/>
              </w:rPr>
              <w:t>8.32</w:t>
            </w:r>
          </w:p>
        </w:tc>
      </w:tr>
      <w:tr w:rsidR="00884B06" w:rsidRPr="004F66C7" w14:paraId="0111C804" w14:textId="77777777" w:rsidTr="00874E20">
        <w:trPr>
          <w:cnfStyle w:val="010000000000" w:firstRow="0" w:lastRow="1" w:firstColumn="0" w:lastColumn="0" w:oddVBand="0" w:evenVBand="0" w:oddHBand="0" w:evenHBand="0" w:firstRowFirstColumn="0" w:firstRowLastColumn="0" w:lastRowFirstColumn="0" w:lastRowLastColumn="0"/>
          <w:trHeight w:val="240"/>
        </w:trPr>
        <w:tc>
          <w:tcPr>
            <w:tcW w:w="831" w:type="pct"/>
          </w:tcPr>
          <w:p w14:paraId="677D4C46" w14:textId="77777777" w:rsidR="000F4977" w:rsidRPr="004F66C7" w:rsidRDefault="000F4977" w:rsidP="00F0717A">
            <w:pPr>
              <w:jc w:val="both"/>
              <w:rPr>
                <w:sz w:val="20"/>
                <w:szCs w:val="20"/>
              </w:rPr>
            </w:pPr>
          </w:p>
        </w:tc>
        <w:tc>
          <w:tcPr>
            <w:tcW w:w="1478" w:type="pct"/>
            <w:noWrap/>
          </w:tcPr>
          <w:p w14:paraId="4CE418CF" w14:textId="77777777" w:rsidR="000F4977" w:rsidRPr="004F66C7" w:rsidRDefault="000F4977" w:rsidP="00F0717A">
            <w:pPr>
              <w:jc w:val="both"/>
              <w:rPr>
                <w:sz w:val="20"/>
                <w:szCs w:val="20"/>
              </w:rPr>
            </w:pPr>
          </w:p>
        </w:tc>
        <w:tc>
          <w:tcPr>
            <w:tcW w:w="918" w:type="pct"/>
          </w:tcPr>
          <w:p w14:paraId="65988EF2" w14:textId="77777777" w:rsidR="000F4977" w:rsidRPr="004F66C7" w:rsidRDefault="000F4977" w:rsidP="00F0717A">
            <w:pPr>
              <w:pStyle w:val="DecimalAligned"/>
              <w:jc w:val="both"/>
              <w:rPr>
                <w:rFonts w:ascii="Times New Roman" w:hAnsi="Times New Roman" w:cs="Times New Roman"/>
                <w:sz w:val="20"/>
                <w:szCs w:val="20"/>
              </w:rPr>
            </w:pPr>
          </w:p>
        </w:tc>
        <w:tc>
          <w:tcPr>
            <w:tcW w:w="316" w:type="pct"/>
          </w:tcPr>
          <w:p w14:paraId="28B0BA46" w14:textId="77777777" w:rsidR="000F4977" w:rsidRPr="004F66C7" w:rsidRDefault="000F4977" w:rsidP="00F0717A">
            <w:pPr>
              <w:pStyle w:val="DecimalAligned"/>
              <w:jc w:val="both"/>
              <w:rPr>
                <w:rFonts w:ascii="Times New Roman" w:hAnsi="Times New Roman" w:cs="Times New Roman"/>
                <w:sz w:val="20"/>
                <w:szCs w:val="20"/>
              </w:rPr>
            </w:pPr>
          </w:p>
        </w:tc>
        <w:tc>
          <w:tcPr>
            <w:tcW w:w="727" w:type="pct"/>
          </w:tcPr>
          <w:p w14:paraId="1EE6D989" w14:textId="77777777" w:rsidR="000F4977" w:rsidRPr="004F66C7" w:rsidRDefault="000F4977" w:rsidP="00F0717A">
            <w:pPr>
              <w:pStyle w:val="DecimalAligned"/>
              <w:jc w:val="both"/>
              <w:rPr>
                <w:rFonts w:ascii="Times New Roman" w:hAnsi="Times New Roman" w:cs="Times New Roman"/>
                <w:sz w:val="20"/>
                <w:szCs w:val="20"/>
              </w:rPr>
            </w:pPr>
          </w:p>
        </w:tc>
        <w:tc>
          <w:tcPr>
            <w:tcW w:w="729" w:type="pct"/>
          </w:tcPr>
          <w:p w14:paraId="193428E6" w14:textId="77777777" w:rsidR="000F4977" w:rsidRPr="004F66C7" w:rsidRDefault="000F4977" w:rsidP="00F0717A">
            <w:pPr>
              <w:pStyle w:val="DecimalAligned"/>
              <w:jc w:val="both"/>
              <w:rPr>
                <w:rFonts w:ascii="Times New Roman" w:hAnsi="Times New Roman" w:cs="Times New Roman"/>
                <w:sz w:val="20"/>
                <w:szCs w:val="20"/>
              </w:rPr>
            </w:pPr>
          </w:p>
        </w:tc>
      </w:tr>
    </w:tbl>
    <w:p w14:paraId="1F421410" w14:textId="4CB6722A" w:rsidR="00D46262" w:rsidRPr="00EC3C81" w:rsidRDefault="00E90C30" w:rsidP="00F0717A">
      <w:pPr>
        <w:spacing w:line="480" w:lineRule="auto"/>
        <w:ind w:firstLine="720"/>
        <w:jc w:val="both"/>
        <w:rPr>
          <w:lang w:val="es-MX"/>
        </w:rPr>
      </w:pPr>
      <w:r>
        <w:rPr>
          <w:lang w:val="es-MX"/>
        </w:rPr>
        <w:t>Para capt</w:t>
      </w:r>
      <w:r w:rsidR="00927CCF">
        <w:rPr>
          <w:lang w:val="es-MX"/>
        </w:rPr>
        <w:t>ura</w:t>
      </w:r>
      <w:r>
        <w:rPr>
          <w:lang w:val="es-MX"/>
        </w:rPr>
        <w:t xml:space="preserve">r la pobreza del vecindario, </w:t>
      </w:r>
      <w:r w:rsidR="00663EEA">
        <w:rPr>
          <w:lang w:val="es-MX"/>
        </w:rPr>
        <w:t xml:space="preserve">utilizamos datos </w:t>
      </w:r>
      <w:r w:rsidR="009578EA">
        <w:rPr>
          <w:lang w:val="es-MX"/>
        </w:rPr>
        <w:t xml:space="preserve">de 5 </w:t>
      </w:r>
      <w:r w:rsidR="00884B06">
        <w:rPr>
          <w:lang w:val="es-MX"/>
        </w:rPr>
        <w:t xml:space="preserve">años </w:t>
      </w:r>
      <w:r w:rsidR="00663EEA">
        <w:rPr>
          <w:lang w:val="es-MX"/>
        </w:rPr>
        <w:t xml:space="preserve">del censo ACS (2015) </w:t>
      </w:r>
      <w:r w:rsidR="00884B06">
        <w:rPr>
          <w:lang w:val="es-MX"/>
        </w:rPr>
        <w:t xml:space="preserve">(2008-2012) </w:t>
      </w:r>
      <w:r w:rsidR="00663EEA">
        <w:rPr>
          <w:lang w:val="es-MX"/>
        </w:rPr>
        <w:t>correspondientes</w:t>
      </w:r>
      <w:r w:rsidR="004D59D1">
        <w:rPr>
          <w:lang w:val="es-MX"/>
        </w:rPr>
        <w:t xml:space="preserve"> a cada </w:t>
      </w:r>
      <w:r w:rsidR="00417EA6">
        <w:rPr>
          <w:lang w:val="es-MX"/>
        </w:rPr>
        <w:t xml:space="preserve">grupo </w:t>
      </w:r>
      <w:r w:rsidR="004D59D1">
        <w:rPr>
          <w:lang w:val="es-MX"/>
        </w:rPr>
        <w:t xml:space="preserve">del vecindario. </w:t>
      </w:r>
      <w:r w:rsidR="00E1784E">
        <w:rPr>
          <w:lang w:val="es-MX"/>
        </w:rPr>
        <w:t>Específicamente</w:t>
      </w:r>
      <w:r>
        <w:rPr>
          <w:lang w:val="es-MX"/>
        </w:rPr>
        <w:t>, la variable de</w:t>
      </w:r>
      <w:r w:rsidR="004D59D1">
        <w:rPr>
          <w:lang w:val="es-MX"/>
        </w:rPr>
        <w:t xml:space="preserve"> pobreza es un</w:t>
      </w:r>
      <w:r>
        <w:rPr>
          <w:lang w:val="es-MX"/>
        </w:rPr>
        <w:t>a variable continua basada</w:t>
      </w:r>
      <w:r w:rsidR="004D59D1">
        <w:rPr>
          <w:lang w:val="es-MX"/>
        </w:rPr>
        <w:t xml:space="preserve"> en los datos de</w:t>
      </w:r>
      <w:r w:rsidR="009578EA">
        <w:rPr>
          <w:lang w:val="es-MX"/>
        </w:rPr>
        <w:t>l</w:t>
      </w:r>
      <w:r w:rsidR="004D59D1">
        <w:rPr>
          <w:lang w:val="es-MX"/>
        </w:rPr>
        <w:t xml:space="preserve"> ACS </w:t>
      </w:r>
      <w:r>
        <w:rPr>
          <w:lang w:val="es-MX"/>
        </w:rPr>
        <w:t xml:space="preserve">sobre el porcentaje de viviendas </w:t>
      </w:r>
      <w:r>
        <w:rPr>
          <w:lang w:val="es-MX"/>
        </w:rPr>
        <w:lastRenderedPageBreak/>
        <w:t>que gana</w:t>
      </w:r>
      <w:r w:rsidR="00ED28C4">
        <w:rPr>
          <w:lang w:val="es-MX"/>
        </w:rPr>
        <w:t xml:space="preserve">n menos de 10,000 </w:t>
      </w:r>
      <w:r w:rsidR="00E1784E">
        <w:rPr>
          <w:lang w:val="es-MX"/>
        </w:rPr>
        <w:t>dólares</w:t>
      </w:r>
      <w:r w:rsidR="00ED28C4">
        <w:rPr>
          <w:lang w:val="es-MX"/>
        </w:rPr>
        <w:t xml:space="preserve"> y que pertenecen a cada agrupación del vecindario </w:t>
      </w:r>
      <w:r w:rsidR="00E1784E">
        <w:rPr>
          <w:lang w:val="es-MX"/>
        </w:rPr>
        <w:t>(área de</w:t>
      </w:r>
      <w:r>
        <w:rPr>
          <w:lang w:val="es-MX"/>
        </w:rPr>
        <w:t>l</w:t>
      </w:r>
      <w:r w:rsidR="00E1784E">
        <w:rPr>
          <w:lang w:val="es-MX"/>
        </w:rPr>
        <w:t xml:space="preserve"> censo). Para </w:t>
      </w:r>
      <w:r w:rsidR="009578EA">
        <w:rPr>
          <w:lang w:val="es-MX"/>
        </w:rPr>
        <w:t xml:space="preserve">los </w:t>
      </w:r>
      <w:r>
        <w:rPr>
          <w:lang w:val="es-MX"/>
        </w:rPr>
        <w:t xml:space="preserve">grupos de vecindarios con más de </w:t>
      </w:r>
      <w:r w:rsidR="00663EEA">
        <w:rPr>
          <w:lang w:val="es-MX"/>
        </w:rPr>
        <w:t>un área del censo, se promediaron</w:t>
      </w:r>
      <w:r>
        <w:rPr>
          <w:lang w:val="es-MX"/>
        </w:rPr>
        <w:t xml:space="preserve"> </w:t>
      </w:r>
      <w:r w:rsidR="00E1784E">
        <w:rPr>
          <w:lang w:val="es-MX"/>
        </w:rPr>
        <w:t xml:space="preserve">los datos de esta agrupación </w:t>
      </w:r>
      <w:r>
        <w:rPr>
          <w:lang w:val="es-MX"/>
        </w:rPr>
        <w:t xml:space="preserve">a través de las áreas. </w:t>
      </w:r>
    </w:p>
    <w:p w14:paraId="19D988F3" w14:textId="2C671E1C" w:rsidR="00DA4EEA" w:rsidRPr="00060044" w:rsidRDefault="00DA38DE" w:rsidP="00F0717A">
      <w:pPr>
        <w:spacing w:line="480" w:lineRule="auto"/>
        <w:jc w:val="both"/>
        <w:rPr>
          <w:rFonts w:eastAsia="Calibri"/>
          <w:u w:val="single"/>
          <w:lang w:val="es-MX"/>
        </w:rPr>
      </w:pPr>
      <w:r w:rsidRPr="00060044">
        <w:rPr>
          <w:rFonts w:eastAsia="Calibri"/>
          <w:u w:val="single"/>
          <w:lang w:val="es-MX"/>
        </w:rPr>
        <w:t>Análisis</w:t>
      </w:r>
      <w:r w:rsidR="00E90C30">
        <w:rPr>
          <w:rFonts w:eastAsia="Calibri"/>
          <w:u w:val="single"/>
          <w:lang w:val="es-MX"/>
        </w:rPr>
        <w:t xml:space="preserve"> del HGLM</w:t>
      </w:r>
      <w:r w:rsidR="00DA4EEA" w:rsidRPr="00060044">
        <w:rPr>
          <w:rFonts w:eastAsia="Calibri"/>
          <w:u w:val="single"/>
          <w:lang w:val="es-MX"/>
        </w:rPr>
        <w:t xml:space="preserve"> </w:t>
      </w:r>
    </w:p>
    <w:p w14:paraId="6F0F6139" w14:textId="5D9BDD21" w:rsidR="0097101A" w:rsidRPr="0097101A" w:rsidRDefault="00E90C30" w:rsidP="00F0717A">
      <w:pPr>
        <w:spacing w:line="480" w:lineRule="auto"/>
        <w:ind w:firstLine="720"/>
        <w:jc w:val="both"/>
        <w:rPr>
          <w:rFonts w:eastAsia="Calibri"/>
          <w:lang w:val="es-MX"/>
        </w:rPr>
      </w:pPr>
      <w:r>
        <w:rPr>
          <w:rFonts w:eastAsia="Calibri"/>
          <w:lang w:val="es-MX"/>
        </w:rPr>
        <w:t xml:space="preserve">Se requiere un </w:t>
      </w:r>
      <w:r w:rsidR="00671566" w:rsidRPr="0097101A">
        <w:rPr>
          <w:rFonts w:eastAsia="Calibri"/>
          <w:lang w:val="es-MX"/>
        </w:rPr>
        <w:t>análisis</w:t>
      </w:r>
      <w:r w:rsidR="0097101A" w:rsidRPr="0097101A">
        <w:rPr>
          <w:rFonts w:eastAsia="Calibri"/>
          <w:lang w:val="es-MX"/>
        </w:rPr>
        <w:t xml:space="preserve"> de</w:t>
      </w:r>
      <w:r>
        <w:rPr>
          <w:rFonts w:eastAsia="Calibri"/>
          <w:lang w:val="es-MX"/>
        </w:rPr>
        <w:t>l</w:t>
      </w:r>
      <w:r w:rsidR="0097101A" w:rsidRPr="0097101A">
        <w:rPr>
          <w:rFonts w:eastAsia="Calibri"/>
          <w:lang w:val="es-MX"/>
        </w:rPr>
        <w:t xml:space="preserve"> modelo </w:t>
      </w:r>
      <w:r>
        <w:rPr>
          <w:rFonts w:eastAsia="Calibri"/>
          <w:lang w:val="es-MX"/>
        </w:rPr>
        <w:t xml:space="preserve">linear </w:t>
      </w:r>
      <w:r w:rsidR="00671566" w:rsidRPr="0097101A">
        <w:rPr>
          <w:rFonts w:eastAsia="Calibri"/>
          <w:lang w:val="es-MX"/>
        </w:rPr>
        <w:t>jerárquico</w:t>
      </w:r>
      <w:r>
        <w:rPr>
          <w:rFonts w:eastAsia="Calibri"/>
          <w:lang w:val="es-MX"/>
        </w:rPr>
        <w:t xml:space="preserve"> ya que las personas </w:t>
      </w:r>
      <w:r w:rsidR="00663EEA">
        <w:rPr>
          <w:rFonts w:eastAsia="Calibri"/>
          <w:lang w:val="es-MX"/>
        </w:rPr>
        <w:t xml:space="preserve">están </w:t>
      </w:r>
      <w:r>
        <w:rPr>
          <w:rFonts w:eastAsia="Calibri"/>
          <w:lang w:val="es-MX"/>
        </w:rPr>
        <w:t>alojadas en vecindarios y no están distribuidas al azar</w:t>
      </w:r>
      <w:r w:rsidR="0097101A" w:rsidRPr="0097101A">
        <w:rPr>
          <w:rFonts w:eastAsia="Calibri"/>
          <w:lang w:val="es-MX"/>
        </w:rPr>
        <w:t xml:space="preserve"> </w:t>
      </w:r>
      <w:r w:rsidR="0086735E">
        <w:rPr>
          <w:rFonts w:eastAsia="Calibri"/>
          <w:lang w:val="es-MX"/>
        </w:rPr>
        <w:t>(Bryk y</w:t>
      </w:r>
      <w:r w:rsidR="0097101A" w:rsidRPr="0097101A">
        <w:rPr>
          <w:rFonts w:eastAsia="Calibri"/>
          <w:lang w:val="es-MX"/>
        </w:rPr>
        <w:t xml:space="preserve"> Raudenbush, 1992).  </w:t>
      </w:r>
      <w:r w:rsidR="0097101A">
        <w:rPr>
          <w:rFonts w:eastAsia="Calibri"/>
          <w:lang w:val="es-MX"/>
        </w:rPr>
        <w:t>Los datos</w:t>
      </w:r>
      <w:r w:rsidR="00663EEA">
        <w:rPr>
          <w:rFonts w:eastAsia="Calibri"/>
          <w:lang w:val="es-MX"/>
        </w:rPr>
        <w:t xml:space="preserve"> de multiniveles afectan</w:t>
      </w:r>
      <w:r>
        <w:rPr>
          <w:rFonts w:eastAsia="Calibri"/>
          <w:lang w:val="es-MX"/>
        </w:rPr>
        <w:t xml:space="preserve"> esa suposición de que las observaciones de nivel-bajo son independientes y conducen a errores </w:t>
      </w:r>
      <w:r w:rsidR="00B61F3E">
        <w:rPr>
          <w:rFonts w:eastAsia="Calibri"/>
          <w:lang w:val="es-MX"/>
        </w:rPr>
        <w:t>estándar</w:t>
      </w:r>
      <w:r>
        <w:rPr>
          <w:rFonts w:eastAsia="Calibri"/>
          <w:lang w:val="es-MX"/>
        </w:rPr>
        <w:t xml:space="preserve"> </w:t>
      </w:r>
      <w:r w:rsidR="009578EA">
        <w:rPr>
          <w:rFonts w:eastAsia="Calibri"/>
          <w:lang w:val="es-MX"/>
        </w:rPr>
        <w:t>prejuiciado</w:t>
      </w:r>
      <w:r w:rsidR="00B61F3E">
        <w:rPr>
          <w:rFonts w:eastAsia="Calibri"/>
          <w:lang w:val="es-MX"/>
        </w:rPr>
        <w:t>s</w:t>
      </w:r>
      <w:r w:rsidR="00663EEA">
        <w:rPr>
          <w:rFonts w:eastAsia="Calibri"/>
          <w:lang w:val="es-MX"/>
        </w:rPr>
        <w:t>,</w:t>
      </w:r>
      <w:r w:rsidR="00671566">
        <w:rPr>
          <w:rFonts w:eastAsia="Calibri"/>
          <w:lang w:val="es-MX"/>
        </w:rPr>
        <w:t xml:space="preserve"> errores inflados Tipo I</w:t>
      </w:r>
      <w:r w:rsidR="00B61F3E">
        <w:rPr>
          <w:rFonts w:eastAsia="Calibri"/>
          <w:lang w:val="es-MX"/>
        </w:rPr>
        <w:t xml:space="preserve"> e incluso </w:t>
      </w:r>
      <w:r w:rsidR="00671566">
        <w:rPr>
          <w:rFonts w:eastAsia="Calibri"/>
          <w:lang w:val="es-MX"/>
        </w:rPr>
        <w:t xml:space="preserve"> interferencias incorrectas </w:t>
      </w:r>
      <w:r w:rsidR="00B61F3E">
        <w:rPr>
          <w:rFonts w:eastAsia="Calibri"/>
          <w:lang w:val="es-MX"/>
        </w:rPr>
        <w:t>por lo que las técnicas multinivel son adecuada</w:t>
      </w:r>
      <w:r w:rsidR="00777613">
        <w:rPr>
          <w:rFonts w:eastAsia="Calibri"/>
          <w:lang w:val="es-MX"/>
        </w:rPr>
        <w:t xml:space="preserve">s para este estudio (Hox 2010).  </w:t>
      </w:r>
      <w:r w:rsidR="00B61F3E">
        <w:rPr>
          <w:rFonts w:eastAsia="Calibri"/>
          <w:lang w:val="es-MX"/>
        </w:rPr>
        <w:t>El modelo multinivel se aplicó a las estructuras de</w:t>
      </w:r>
      <w:r w:rsidR="00417EA6">
        <w:rPr>
          <w:rFonts w:eastAsia="Calibri"/>
          <w:lang w:val="es-MX"/>
        </w:rPr>
        <w:t xml:space="preserve"> grupos</w:t>
      </w:r>
      <w:r w:rsidR="00060044">
        <w:rPr>
          <w:rFonts w:eastAsia="Calibri"/>
          <w:lang w:val="es-MX"/>
        </w:rPr>
        <w:t>, indicando que</w:t>
      </w:r>
      <w:r w:rsidR="00B61F3E">
        <w:rPr>
          <w:rFonts w:eastAsia="Calibri"/>
          <w:lang w:val="es-MX"/>
        </w:rPr>
        <w:t xml:space="preserve"> las personas</w:t>
      </w:r>
      <w:r w:rsidR="00663EEA">
        <w:rPr>
          <w:rFonts w:eastAsia="Calibri"/>
          <w:lang w:val="es-MX"/>
        </w:rPr>
        <w:t xml:space="preserve"> (Nivel 1</w:t>
      </w:r>
      <w:r w:rsidR="00060044">
        <w:rPr>
          <w:rFonts w:eastAsia="Calibri"/>
          <w:lang w:val="es-MX"/>
        </w:rPr>
        <w:t xml:space="preserve">) </w:t>
      </w:r>
      <w:r w:rsidR="00B61F3E">
        <w:rPr>
          <w:rFonts w:eastAsia="Calibri"/>
          <w:lang w:val="es-MX"/>
        </w:rPr>
        <w:t>están alojadas</w:t>
      </w:r>
      <w:r w:rsidR="00417EA6">
        <w:rPr>
          <w:rFonts w:eastAsia="Calibri"/>
          <w:lang w:val="es-MX"/>
        </w:rPr>
        <w:t xml:space="preserve"> dentro de</w:t>
      </w:r>
      <w:r w:rsidR="00060044">
        <w:rPr>
          <w:rFonts w:eastAsia="Calibri"/>
          <w:lang w:val="es-MX"/>
        </w:rPr>
        <w:t xml:space="preserve"> los vecindarios (Nivel 2) y pueden </w:t>
      </w:r>
      <w:r w:rsidR="00663EEA">
        <w:rPr>
          <w:rFonts w:eastAsia="Calibri"/>
          <w:lang w:val="es-MX"/>
        </w:rPr>
        <w:t>ejercer efectos de interacción</w:t>
      </w:r>
      <w:r w:rsidR="00060044">
        <w:rPr>
          <w:rFonts w:eastAsia="Calibri"/>
          <w:lang w:val="es-MX"/>
        </w:rPr>
        <w:t xml:space="preserve"> </w:t>
      </w:r>
      <w:r w:rsidR="00B61F3E">
        <w:rPr>
          <w:rFonts w:eastAsia="Calibri"/>
          <w:lang w:val="es-MX"/>
        </w:rPr>
        <w:t>de multiniveles</w:t>
      </w:r>
      <w:r w:rsidR="00060044">
        <w:rPr>
          <w:rFonts w:eastAsia="Calibri"/>
          <w:lang w:val="es-MX"/>
        </w:rPr>
        <w:t>.</w:t>
      </w:r>
    </w:p>
    <w:p w14:paraId="2CCB88F4" w14:textId="36F48A67" w:rsidR="00DA38DE" w:rsidRDefault="00DA38DE" w:rsidP="00F0717A">
      <w:pPr>
        <w:spacing w:line="480" w:lineRule="auto"/>
        <w:ind w:firstLine="720"/>
        <w:jc w:val="both"/>
        <w:rPr>
          <w:rFonts w:eastAsia="Calibri"/>
          <w:lang w:val="es-MX"/>
        </w:rPr>
      </w:pPr>
      <w:r w:rsidRPr="00060044">
        <w:rPr>
          <w:lang w:val="es-MX"/>
        </w:rPr>
        <w:t>Debido</w:t>
      </w:r>
      <w:r w:rsidR="00B61F3E">
        <w:rPr>
          <w:lang w:val="es-MX"/>
        </w:rPr>
        <w:t xml:space="preserve"> a que nuestra variable dependiente/resultado es binaria</w:t>
      </w:r>
      <w:r w:rsidR="00663EEA">
        <w:rPr>
          <w:lang w:val="es-MX"/>
        </w:rPr>
        <w:t>, resulta conveniente</w:t>
      </w:r>
      <w:r w:rsidR="00B61F3E">
        <w:rPr>
          <w:lang w:val="es-MX"/>
        </w:rPr>
        <w:t xml:space="preserve"> usar </w:t>
      </w:r>
      <w:r w:rsidR="00060044" w:rsidRPr="00060044">
        <w:rPr>
          <w:lang w:val="es-MX"/>
        </w:rPr>
        <w:t xml:space="preserve"> </w:t>
      </w:r>
      <w:r w:rsidR="00663EEA">
        <w:rPr>
          <w:lang w:val="es-MX"/>
        </w:rPr>
        <w:t xml:space="preserve">la </w:t>
      </w:r>
      <w:r w:rsidR="00060044">
        <w:rPr>
          <w:lang w:val="es-MX"/>
        </w:rPr>
        <w:t xml:space="preserve">regresión </w:t>
      </w:r>
      <w:r>
        <w:rPr>
          <w:lang w:val="es-MX"/>
        </w:rPr>
        <w:t>logística</w:t>
      </w:r>
      <w:r w:rsidR="00060044">
        <w:rPr>
          <w:lang w:val="es-MX"/>
        </w:rPr>
        <w:t xml:space="preserve"> multinivel </w:t>
      </w:r>
      <w:r>
        <w:rPr>
          <w:lang w:val="es-MX"/>
        </w:rPr>
        <w:t>también</w:t>
      </w:r>
      <w:r w:rsidR="00663EEA">
        <w:rPr>
          <w:lang w:val="es-MX"/>
        </w:rPr>
        <w:t xml:space="preserve"> conocida como</w:t>
      </w:r>
      <w:r w:rsidR="00402BFC" w:rsidRPr="00060044">
        <w:rPr>
          <w:lang w:val="es-MX"/>
        </w:rPr>
        <w:t xml:space="preserve"> </w:t>
      </w:r>
      <w:r w:rsidR="00060044">
        <w:rPr>
          <w:lang w:val="es-MX"/>
        </w:rPr>
        <w:t>model</w:t>
      </w:r>
      <w:r w:rsidR="00663EEA">
        <w:rPr>
          <w:lang w:val="es-MX"/>
        </w:rPr>
        <w:t>o</w:t>
      </w:r>
      <w:r w:rsidR="00B61F3E">
        <w:rPr>
          <w:lang w:val="es-MX"/>
        </w:rPr>
        <w:t xml:space="preserve"> lineal</w:t>
      </w:r>
      <w:r w:rsidR="00663EEA">
        <w:rPr>
          <w:lang w:val="es-MX"/>
        </w:rPr>
        <w:t xml:space="preserve"> jerárquico generalizado</w:t>
      </w:r>
      <w:r w:rsidR="00060044">
        <w:rPr>
          <w:lang w:val="es-MX"/>
        </w:rPr>
        <w:t xml:space="preserve"> (HGML) para analizar </w:t>
      </w:r>
      <w:r w:rsidR="00B61F3E">
        <w:rPr>
          <w:lang w:val="es-MX"/>
        </w:rPr>
        <w:t xml:space="preserve">los </w:t>
      </w:r>
      <w:r w:rsidR="00060044">
        <w:rPr>
          <w:lang w:val="es-MX"/>
        </w:rPr>
        <w:t xml:space="preserve">modelos estructurales no lineales </w:t>
      </w:r>
      <w:r w:rsidR="0086735E">
        <w:rPr>
          <w:rFonts w:eastAsia="Calibri"/>
          <w:lang w:val="es-MX"/>
        </w:rPr>
        <w:t>(Raudenbush y</w:t>
      </w:r>
      <w:r w:rsidR="00B61F3E">
        <w:rPr>
          <w:rFonts w:eastAsia="Calibri"/>
          <w:lang w:val="es-MX"/>
        </w:rPr>
        <w:t xml:space="preserve"> Bryk</w:t>
      </w:r>
      <w:r w:rsidR="00060044" w:rsidRPr="00060044">
        <w:rPr>
          <w:rFonts w:eastAsia="Calibri"/>
          <w:lang w:val="es-MX"/>
        </w:rPr>
        <w:t xml:space="preserve"> 2002).  </w:t>
      </w:r>
      <w:r w:rsidR="00417EA6">
        <w:rPr>
          <w:rFonts w:eastAsia="Calibri"/>
          <w:lang w:val="es-MX"/>
        </w:rPr>
        <w:t>A diferencia del H</w:t>
      </w:r>
      <w:r w:rsidR="00060044">
        <w:rPr>
          <w:rFonts w:eastAsia="Calibri"/>
          <w:lang w:val="es-MX"/>
        </w:rPr>
        <w:t>LM</w:t>
      </w:r>
      <w:r w:rsidR="00663EEA">
        <w:rPr>
          <w:rFonts w:eastAsia="Calibri"/>
          <w:lang w:val="es-MX"/>
        </w:rPr>
        <w:t>, el HGLM</w:t>
      </w:r>
      <w:r w:rsidR="00060044">
        <w:rPr>
          <w:rFonts w:eastAsia="Calibri"/>
          <w:lang w:val="es-MX"/>
        </w:rPr>
        <w:t xml:space="preserve"> </w:t>
      </w:r>
      <w:r w:rsidR="00B61F3E">
        <w:rPr>
          <w:rFonts w:eastAsia="Calibri"/>
          <w:lang w:val="es-MX"/>
        </w:rPr>
        <w:t>usa un</w:t>
      </w:r>
      <w:r w:rsidR="00060044">
        <w:rPr>
          <w:rFonts w:eastAsia="Calibri"/>
          <w:lang w:val="es-MX"/>
        </w:rPr>
        <w:t xml:space="preserve"> model</w:t>
      </w:r>
      <w:r w:rsidR="00B61F3E">
        <w:rPr>
          <w:rFonts w:eastAsia="Calibri"/>
          <w:lang w:val="es-MX"/>
        </w:rPr>
        <w:t xml:space="preserve">o </w:t>
      </w:r>
      <w:r w:rsidR="00544423">
        <w:rPr>
          <w:rFonts w:eastAsia="Calibri"/>
          <w:lang w:val="es-MX"/>
        </w:rPr>
        <w:t xml:space="preserve">muestra </w:t>
      </w:r>
      <w:r w:rsidR="00417EA6">
        <w:rPr>
          <w:rFonts w:eastAsia="Calibri"/>
          <w:lang w:val="es-MX"/>
        </w:rPr>
        <w:t xml:space="preserve">de binomio </w:t>
      </w:r>
      <w:r w:rsidR="00B61F3E">
        <w:rPr>
          <w:rFonts w:eastAsia="Calibri"/>
          <w:lang w:val="es-MX"/>
        </w:rPr>
        <w:t>nivel-1 y un</w:t>
      </w:r>
      <w:r w:rsidR="00060044">
        <w:rPr>
          <w:rFonts w:eastAsia="Calibri"/>
          <w:lang w:val="es-MX"/>
        </w:rPr>
        <w:t xml:space="preserve"> enlace logit. </w:t>
      </w:r>
      <w:r w:rsidR="00417EA6">
        <w:rPr>
          <w:rFonts w:eastAsia="Calibri"/>
          <w:lang w:val="es-MX"/>
        </w:rPr>
        <w:t xml:space="preserve">Nos interesa la </w:t>
      </w:r>
      <w:r w:rsidR="002445C2">
        <w:rPr>
          <w:rFonts w:eastAsia="Calibri"/>
          <w:lang w:val="es-MX"/>
        </w:rPr>
        <w:t xml:space="preserve">probabilidad </w:t>
      </w:r>
      <w:r w:rsidR="00544423">
        <w:rPr>
          <w:rFonts w:eastAsia="Calibri"/>
          <w:lang w:val="es-MX"/>
        </w:rPr>
        <w:t>de que las agencias policiacas pregunten</w:t>
      </w:r>
      <w:r w:rsidR="00B61F3E">
        <w:rPr>
          <w:rFonts w:eastAsia="Calibri"/>
          <w:lang w:val="es-MX"/>
        </w:rPr>
        <w:t xml:space="preserve"> sobre la</w:t>
      </w:r>
      <w:r w:rsidR="00060044">
        <w:rPr>
          <w:rFonts w:eastAsia="Calibri"/>
          <w:lang w:val="es-MX"/>
        </w:rPr>
        <w:t xml:space="preserve"> </w:t>
      </w:r>
      <w:r>
        <w:rPr>
          <w:rFonts w:eastAsia="Calibri"/>
          <w:lang w:val="es-MX"/>
        </w:rPr>
        <w:t xml:space="preserve">ciudadanía (1 si la respuesta es </w:t>
      </w:r>
      <w:r w:rsidR="00B61F3E">
        <w:rPr>
          <w:rFonts w:eastAsia="Calibri"/>
          <w:lang w:val="es-MX"/>
        </w:rPr>
        <w:t>sí</w:t>
      </w:r>
      <w:r w:rsidR="00060044">
        <w:rPr>
          <w:rFonts w:eastAsia="Calibri"/>
          <w:lang w:val="es-MX"/>
        </w:rPr>
        <w:t>, 0 si</w:t>
      </w:r>
      <w:r>
        <w:rPr>
          <w:rFonts w:eastAsia="Calibri"/>
          <w:lang w:val="es-MX"/>
        </w:rPr>
        <w:t xml:space="preserve"> la respuesta es</w:t>
      </w:r>
      <w:r w:rsidR="00544423">
        <w:rPr>
          <w:rFonts w:eastAsia="Calibri"/>
          <w:lang w:val="es-MX"/>
        </w:rPr>
        <w:t xml:space="preserve"> no</w:t>
      </w:r>
      <w:r w:rsidR="00060044">
        <w:rPr>
          <w:rFonts w:eastAsia="Calibri"/>
          <w:lang w:val="es-MX"/>
        </w:rPr>
        <w:t xml:space="preserve">) y cada </w:t>
      </w:r>
      <w:r w:rsidR="00B61F3E">
        <w:rPr>
          <w:rFonts w:eastAsia="Calibri"/>
          <w:lang w:val="es-MX"/>
        </w:rPr>
        <w:t>ré</w:t>
      </w:r>
      <w:r>
        <w:rPr>
          <w:rFonts w:eastAsia="Calibri"/>
          <w:lang w:val="es-MX"/>
        </w:rPr>
        <w:t xml:space="preserve">cord </w:t>
      </w:r>
      <w:r w:rsidR="00060044">
        <w:rPr>
          <w:rFonts w:eastAsia="Calibri"/>
          <w:lang w:val="es-MX"/>
        </w:rPr>
        <w:t xml:space="preserve">nivel-1 </w:t>
      </w:r>
      <w:r>
        <w:rPr>
          <w:rFonts w:eastAsia="Calibri"/>
          <w:lang w:val="es-MX"/>
        </w:rPr>
        <w:t xml:space="preserve">corresponde a una persona con un resultado binario </w:t>
      </w:r>
      <w:r w:rsidR="00B61F3E">
        <w:rPr>
          <w:rFonts w:eastAsia="Calibri"/>
          <w:lang w:val="es-MX"/>
        </w:rPr>
        <w:t xml:space="preserve">único </w:t>
      </w:r>
      <w:r w:rsidR="002445C2">
        <w:rPr>
          <w:rFonts w:eastAsia="Calibri"/>
          <w:lang w:val="es-MX"/>
        </w:rPr>
        <w:t xml:space="preserve">ya </w:t>
      </w:r>
      <w:r w:rsidR="00295204">
        <w:rPr>
          <w:rFonts w:eastAsia="Calibri"/>
          <w:lang w:val="es-MX"/>
        </w:rPr>
        <w:t xml:space="preserve">que </w:t>
      </w:r>
      <w:r>
        <w:rPr>
          <w:rFonts w:eastAsia="Calibri"/>
          <w:lang w:val="es-MX"/>
        </w:rPr>
        <w:t xml:space="preserve">el tipo de modelo es </w:t>
      </w:r>
      <w:r w:rsidRPr="00DA38DE">
        <w:rPr>
          <w:rFonts w:eastAsia="Calibri"/>
          <w:lang w:val="es-MX"/>
        </w:rPr>
        <w:t>Bernou</w:t>
      </w:r>
      <w:r>
        <w:rPr>
          <w:rFonts w:eastAsia="Calibri"/>
          <w:lang w:val="es-MX"/>
        </w:rPr>
        <w:t xml:space="preserve">lli (Raudenbush et al., 2011). </w:t>
      </w:r>
      <w:r w:rsidR="00544423">
        <w:rPr>
          <w:rFonts w:eastAsia="Calibri"/>
          <w:lang w:val="es-MX"/>
        </w:rPr>
        <w:t>U</w:t>
      </w:r>
      <w:r>
        <w:rPr>
          <w:rFonts w:eastAsia="Calibri"/>
          <w:lang w:val="es-MX"/>
        </w:rPr>
        <w:t xml:space="preserve">tilizamos la </w:t>
      </w:r>
      <w:r w:rsidR="00B61F3E">
        <w:rPr>
          <w:rFonts w:eastAsia="Calibri"/>
          <w:lang w:val="es-MX"/>
        </w:rPr>
        <w:t>distribución Bernoulli</w:t>
      </w:r>
      <w:r w:rsidR="009578EA">
        <w:rPr>
          <w:rFonts w:eastAsia="Calibri"/>
          <w:lang w:val="es-MX"/>
        </w:rPr>
        <w:t>,</w:t>
      </w:r>
      <w:r w:rsidR="00B61F3E">
        <w:rPr>
          <w:rFonts w:eastAsia="Calibri"/>
          <w:lang w:val="es-MX"/>
        </w:rPr>
        <w:t xml:space="preserve"> porque la variable dependiente es binaria y las </w:t>
      </w:r>
      <w:r w:rsidR="00544423">
        <w:rPr>
          <w:rFonts w:eastAsia="Calibri"/>
          <w:lang w:val="es-MX"/>
        </w:rPr>
        <w:t xml:space="preserve">repeticiones </w:t>
      </w:r>
      <w:r>
        <w:rPr>
          <w:rFonts w:eastAsia="Calibri"/>
          <w:lang w:val="es-MX"/>
        </w:rPr>
        <w:t xml:space="preserve">EM Laplace para producir un modelo </w:t>
      </w:r>
      <w:r w:rsidR="00B61F3E">
        <w:rPr>
          <w:rFonts w:eastAsia="Calibri"/>
          <w:lang w:val="es-MX"/>
        </w:rPr>
        <w:t xml:space="preserve">especifico </w:t>
      </w:r>
      <w:r>
        <w:rPr>
          <w:rFonts w:eastAsia="Calibri"/>
          <w:lang w:val="es-MX"/>
        </w:rPr>
        <w:t xml:space="preserve">de unidad </w:t>
      </w:r>
      <w:r w:rsidR="00B61F3E">
        <w:rPr>
          <w:rFonts w:eastAsia="Calibri"/>
          <w:lang w:val="es-MX"/>
        </w:rPr>
        <w:t>del resultado de la estimación EM Laplace.</w:t>
      </w:r>
    </w:p>
    <w:p w14:paraId="6A0F658A" w14:textId="77777777" w:rsidR="00DA38DE" w:rsidRDefault="00DA38DE" w:rsidP="00F0717A">
      <w:pPr>
        <w:spacing w:after="160" w:line="259" w:lineRule="auto"/>
        <w:jc w:val="both"/>
        <w:rPr>
          <w:rFonts w:eastAsia="Calibri"/>
          <w:lang w:val="es-MX"/>
        </w:rPr>
      </w:pPr>
      <w:r>
        <w:rPr>
          <w:rFonts w:eastAsia="Calibri"/>
          <w:lang w:val="es-MX"/>
        </w:rPr>
        <w:br w:type="page"/>
      </w:r>
    </w:p>
    <w:p w14:paraId="3DEC0CD3" w14:textId="77777777" w:rsidR="003A120D" w:rsidRPr="00DA38DE" w:rsidRDefault="003A120D" w:rsidP="00F0717A">
      <w:pPr>
        <w:spacing w:line="480" w:lineRule="auto"/>
        <w:ind w:firstLine="720"/>
        <w:jc w:val="both"/>
        <w:rPr>
          <w:rFonts w:eastAsia="Calibri"/>
          <w:lang w:val="es-MX"/>
        </w:rPr>
      </w:pPr>
    </w:p>
    <w:p w14:paraId="4A370ADB" w14:textId="5EC90090" w:rsidR="00DA38DE" w:rsidRPr="00420A77" w:rsidRDefault="00637CA5" w:rsidP="00F0717A">
      <w:pPr>
        <w:spacing w:line="480" w:lineRule="auto"/>
        <w:jc w:val="both"/>
        <w:rPr>
          <w:rFonts w:eastAsia="Calibri"/>
          <w:lang w:val="es-MX"/>
        </w:rPr>
      </w:pPr>
      <w:r w:rsidRPr="00060044">
        <w:rPr>
          <w:rFonts w:eastAsia="Calibri"/>
          <w:lang w:val="es-MX"/>
        </w:rPr>
        <w:tab/>
      </w:r>
      <w:r w:rsidR="00DA38DE" w:rsidRPr="00DA38DE">
        <w:rPr>
          <w:rFonts w:eastAsia="Calibri"/>
          <w:lang w:val="es-MX"/>
        </w:rPr>
        <w:t xml:space="preserve">Se utilizaron tres modelos en este </w:t>
      </w:r>
      <w:r w:rsidR="001C0F5D" w:rsidRPr="00DA38DE">
        <w:rPr>
          <w:rFonts w:eastAsia="Calibri"/>
          <w:lang w:val="es-MX"/>
        </w:rPr>
        <w:t>estudio</w:t>
      </w:r>
      <w:r w:rsidR="00DA38DE" w:rsidRPr="00DA38DE">
        <w:rPr>
          <w:rFonts w:eastAsia="Calibri"/>
          <w:lang w:val="es-MX"/>
        </w:rPr>
        <w:t xml:space="preserve">. </w:t>
      </w:r>
      <w:r w:rsidR="00DA38DE">
        <w:rPr>
          <w:rFonts w:eastAsia="Calibri"/>
          <w:lang w:val="es-MX"/>
        </w:rPr>
        <w:t xml:space="preserve">Un modelo </w:t>
      </w:r>
      <w:r w:rsidR="0086735E">
        <w:rPr>
          <w:rFonts w:eastAsia="Calibri"/>
          <w:lang w:val="es-MX"/>
        </w:rPr>
        <w:t>nulo</w:t>
      </w:r>
      <w:r w:rsidR="00DA38DE">
        <w:rPr>
          <w:rFonts w:eastAsia="Calibri"/>
          <w:lang w:val="es-MX"/>
        </w:rPr>
        <w:t xml:space="preserve"> (Modelo 1) e</w:t>
      </w:r>
      <w:r w:rsidR="00B61F3E">
        <w:rPr>
          <w:rFonts w:eastAsia="Calibri"/>
          <w:lang w:val="es-MX"/>
        </w:rPr>
        <w:t>xamin</w:t>
      </w:r>
      <w:r w:rsidR="000215A5">
        <w:rPr>
          <w:rFonts w:eastAsia="Calibri"/>
          <w:lang w:val="es-MX"/>
        </w:rPr>
        <w:t>ó</w:t>
      </w:r>
      <w:r w:rsidR="00C80C7D">
        <w:rPr>
          <w:rFonts w:eastAsia="Calibri"/>
          <w:lang w:val="es-MX"/>
        </w:rPr>
        <w:t xml:space="preserve"> la utilidad del</w:t>
      </w:r>
      <w:r w:rsidR="00DA38DE">
        <w:rPr>
          <w:rFonts w:eastAsia="Calibri"/>
          <w:lang w:val="es-MX"/>
        </w:rPr>
        <w:t xml:space="preserve"> modelo multinivel </w:t>
      </w:r>
      <w:r w:rsidR="00DA38DE" w:rsidRPr="00DA38DE">
        <w:rPr>
          <w:rFonts w:eastAsia="Calibri"/>
          <w:lang w:val="es-MX"/>
        </w:rPr>
        <w:t>(Hox, 2010)</w:t>
      </w:r>
      <w:r w:rsidR="00B61F3E">
        <w:rPr>
          <w:rFonts w:eastAsia="Calibri"/>
          <w:lang w:val="es-MX"/>
        </w:rPr>
        <w:t xml:space="preserve"> y sirvió como </w:t>
      </w:r>
      <w:r w:rsidR="00DA38DE">
        <w:rPr>
          <w:rFonts w:eastAsia="Calibri"/>
          <w:lang w:val="es-MX"/>
        </w:rPr>
        <w:t xml:space="preserve"> referencia para la </w:t>
      </w:r>
      <w:r w:rsidR="001C0F5D">
        <w:rPr>
          <w:rFonts w:eastAsia="Calibri"/>
          <w:lang w:val="es-MX"/>
        </w:rPr>
        <w:t>comparación</w:t>
      </w:r>
      <w:r w:rsidR="00B61F3E">
        <w:rPr>
          <w:rFonts w:eastAsia="Calibri"/>
          <w:lang w:val="es-MX"/>
        </w:rPr>
        <w:t xml:space="preserve"> con los demás</w:t>
      </w:r>
      <w:r w:rsidR="00DA38DE">
        <w:rPr>
          <w:rFonts w:eastAsia="Calibri"/>
          <w:lang w:val="es-MX"/>
        </w:rPr>
        <w:t xml:space="preserve"> modelos. </w:t>
      </w:r>
      <w:r w:rsidR="001C0F5D">
        <w:rPr>
          <w:rFonts w:eastAsia="Calibri"/>
          <w:lang w:val="es-MX"/>
        </w:rPr>
        <w:t>Después</w:t>
      </w:r>
      <w:r w:rsidR="00B61F3E">
        <w:rPr>
          <w:rFonts w:eastAsia="Calibri"/>
          <w:lang w:val="es-MX"/>
        </w:rPr>
        <w:t xml:space="preserve"> corrimos </w:t>
      </w:r>
      <w:r w:rsidR="00DA38DE">
        <w:rPr>
          <w:rFonts w:eastAsia="Calibri"/>
          <w:lang w:val="es-MX"/>
        </w:rPr>
        <w:t xml:space="preserve">un modelo de coeficientes </w:t>
      </w:r>
      <w:r w:rsidR="001C0F5D">
        <w:rPr>
          <w:rFonts w:eastAsia="Calibri"/>
          <w:lang w:val="es-MX"/>
        </w:rPr>
        <w:t>aleatorios</w:t>
      </w:r>
      <w:r w:rsidR="00DA38DE">
        <w:rPr>
          <w:rFonts w:eastAsia="Calibri"/>
          <w:lang w:val="es-MX"/>
        </w:rPr>
        <w:t xml:space="preserve"> (Modelo 2) con indicadores nivel-1 </w:t>
      </w:r>
      <w:r w:rsidR="000215A5">
        <w:rPr>
          <w:rFonts w:eastAsia="Calibri"/>
          <w:lang w:val="es-MX"/>
        </w:rPr>
        <w:t>para poder así evaluar</w:t>
      </w:r>
      <w:r w:rsidR="009578EA">
        <w:rPr>
          <w:rFonts w:eastAsia="Calibri"/>
          <w:lang w:val="es-MX"/>
        </w:rPr>
        <w:t>,</w:t>
      </w:r>
      <w:r w:rsidR="000215A5">
        <w:rPr>
          <w:rFonts w:eastAsia="Calibri"/>
          <w:lang w:val="es-MX"/>
        </w:rPr>
        <w:t xml:space="preserve"> si </w:t>
      </w:r>
      <w:r w:rsidR="00DA38DE">
        <w:rPr>
          <w:rFonts w:eastAsia="Calibri"/>
          <w:lang w:val="es-MX"/>
        </w:rPr>
        <w:t>cualquiera de las pendientes e</w:t>
      </w:r>
      <w:r w:rsidR="00B61F3E">
        <w:rPr>
          <w:rFonts w:eastAsia="Calibri"/>
          <w:lang w:val="es-MX"/>
        </w:rPr>
        <w:t>ra significativamente diferente</w:t>
      </w:r>
      <w:r w:rsidR="00DA38DE">
        <w:rPr>
          <w:rFonts w:eastAsia="Calibri"/>
          <w:lang w:val="es-MX"/>
        </w:rPr>
        <w:t xml:space="preserve"> de </w:t>
      </w:r>
      <w:r w:rsidR="000215A5">
        <w:rPr>
          <w:rFonts w:eastAsia="Calibri"/>
          <w:lang w:val="es-MX"/>
        </w:rPr>
        <w:t>0</w:t>
      </w:r>
      <w:r w:rsidR="009578EA">
        <w:rPr>
          <w:rFonts w:eastAsia="Calibri"/>
          <w:lang w:val="es-MX"/>
        </w:rPr>
        <w:t>,</w:t>
      </w:r>
      <w:r w:rsidR="00DA38DE">
        <w:rPr>
          <w:rFonts w:eastAsia="Calibri"/>
          <w:lang w:val="es-MX"/>
        </w:rPr>
        <w:t xml:space="preserve"> cuando se </w:t>
      </w:r>
      <w:r w:rsidR="00B61F3E">
        <w:rPr>
          <w:rFonts w:eastAsia="Calibri"/>
          <w:lang w:val="es-MX"/>
        </w:rPr>
        <w:t xml:space="preserve">le </w:t>
      </w:r>
      <w:r w:rsidR="001C0F5D">
        <w:rPr>
          <w:rFonts w:eastAsia="Calibri"/>
          <w:lang w:val="es-MX"/>
        </w:rPr>
        <w:t>permitía</w:t>
      </w:r>
      <w:r w:rsidR="00B61F3E">
        <w:rPr>
          <w:rFonts w:eastAsia="Calibri"/>
          <w:lang w:val="es-MX"/>
        </w:rPr>
        <w:t xml:space="preserve"> variar</w:t>
      </w:r>
      <w:r w:rsidR="00DA38DE">
        <w:rPr>
          <w:rFonts w:eastAsia="Calibri"/>
          <w:lang w:val="es-MX"/>
        </w:rPr>
        <w:t xml:space="preserve"> a través de los vecindarios. Este modelo fue utilizado para explorar si los </w:t>
      </w:r>
      <w:r w:rsidR="006616A0">
        <w:rPr>
          <w:rFonts w:eastAsia="Calibri"/>
          <w:lang w:val="es-MX"/>
        </w:rPr>
        <w:t>factores de nivel individual</w:t>
      </w:r>
      <w:r w:rsidR="00DA38DE">
        <w:rPr>
          <w:rFonts w:eastAsia="Calibri"/>
          <w:lang w:val="es-MX"/>
        </w:rPr>
        <w:t xml:space="preserve"> contribuían a </w:t>
      </w:r>
      <w:r w:rsidR="000215A5">
        <w:rPr>
          <w:rFonts w:eastAsia="Calibri"/>
          <w:lang w:val="es-MX"/>
        </w:rPr>
        <w:t>que la pregunta qu</w:t>
      </w:r>
      <w:r w:rsidR="00C80C7D">
        <w:rPr>
          <w:rFonts w:eastAsia="Calibri"/>
          <w:lang w:val="es-MX"/>
        </w:rPr>
        <w:t>e las agencias policiacas hacían</w:t>
      </w:r>
      <w:r w:rsidR="000215A5">
        <w:rPr>
          <w:rFonts w:eastAsia="Calibri"/>
          <w:lang w:val="es-MX"/>
        </w:rPr>
        <w:t xml:space="preserve"> a las personas acerca de </w:t>
      </w:r>
      <w:r w:rsidR="006616A0">
        <w:rPr>
          <w:rFonts w:eastAsia="Calibri"/>
          <w:lang w:val="es-MX"/>
        </w:rPr>
        <w:t>su estatus de ciudadanía</w:t>
      </w:r>
      <w:r w:rsidR="000215A5">
        <w:rPr>
          <w:rFonts w:eastAsia="Calibri"/>
          <w:lang w:val="es-MX"/>
        </w:rPr>
        <w:t>,</w:t>
      </w:r>
      <w:r w:rsidR="00DA38DE">
        <w:rPr>
          <w:rFonts w:eastAsia="Calibri"/>
          <w:lang w:val="es-MX"/>
        </w:rPr>
        <w:t xml:space="preserve"> </w:t>
      </w:r>
      <w:r w:rsidR="000215A5">
        <w:rPr>
          <w:rFonts w:eastAsia="Calibri"/>
          <w:lang w:val="es-MX"/>
        </w:rPr>
        <w:t>variara</w:t>
      </w:r>
      <w:r w:rsidR="006616A0">
        <w:rPr>
          <w:rFonts w:eastAsia="Calibri"/>
          <w:lang w:val="es-MX"/>
        </w:rPr>
        <w:t xml:space="preserve"> por vecindario.</w:t>
      </w:r>
      <w:r w:rsidR="009578EA">
        <w:rPr>
          <w:rFonts w:eastAsia="Calibri"/>
          <w:lang w:val="es-MX"/>
        </w:rPr>
        <w:t xml:space="preserve"> </w:t>
      </w:r>
    </w:p>
    <w:p w14:paraId="01277A4A" w14:textId="347EB451" w:rsidR="001C0F5D" w:rsidRPr="001C0F5D" w:rsidRDefault="001C0F5D" w:rsidP="00F0717A">
      <w:pPr>
        <w:spacing w:line="480" w:lineRule="auto"/>
        <w:jc w:val="both"/>
        <w:rPr>
          <w:rFonts w:eastAsia="Calibri"/>
          <w:lang w:val="es-MX"/>
        </w:rPr>
      </w:pPr>
      <w:r w:rsidRPr="001C0F5D">
        <w:rPr>
          <w:rFonts w:eastAsia="Calibri"/>
          <w:lang w:val="es-MX"/>
        </w:rPr>
        <w:t xml:space="preserve">Un modelo promedio de la población con </w:t>
      </w:r>
      <w:r w:rsidR="000215A5">
        <w:rPr>
          <w:rFonts w:eastAsia="Calibri"/>
          <w:lang w:val="es-MX"/>
        </w:rPr>
        <w:t>fuertes errores estándar</w:t>
      </w:r>
      <w:r>
        <w:rPr>
          <w:rFonts w:eastAsia="Calibri"/>
          <w:lang w:val="es-MX"/>
        </w:rPr>
        <w:t xml:space="preserve"> (modelo 3) examina las relaciones entre los factores de nivel del vecindario y la probabilidad de ser cuestionado</w:t>
      </w:r>
      <w:r w:rsidR="006616A0">
        <w:rPr>
          <w:rFonts w:eastAsia="Calibri"/>
          <w:lang w:val="es-MX"/>
        </w:rPr>
        <w:t xml:space="preserve"> sobre</w:t>
      </w:r>
      <w:r>
        <w:rPr>
          <w:rFonts w:eastAsia="Calibri"/>
          <w:lang w:val="es-MX"/>
        </w:rPr>
        <w:t xml:space="preserve"> </w:t>
      </w:r>
      <w:r w:rsidR="006616A0">
        <w:rPr>
          <w:rFonts w:eastAsia="Calibri"/>
          <w:lang w:val="es-MX"/>
        </w:rPr>
        <w:t>el estatus de ciudadanía</w:t>
      </w:r>
      <w:r w:rsidR="00075798">
        <w:rPr>
          <w:rFonts w:eastAsia="Calibri"/>
          <w:lang w:val="es-MX"/>
        </w:rPr>
        <w:t>,</w:t>
      </w:r>
      <w:r w:rsidR="006616A0">
        <w:rPr>
          <w:rFonts w:eastAsia="Calibri"/>
          <w:lang w:val="es-MX"/>
        </w:rPr>
        <w:t xml:space="preserve"> considerando los factores a nivel </w:t>
      </w:r>
      <w:r>
        <w:rPr>
          <w:rFonts w:eastAsia="Calibri"/>
          <w:lang w:val="es-MX"/>
        </w:rPr>
        <w:t>indiv</w:t>
      </w:r>
      <w:r w:rsidR="006616A0">
        <w:rPr>
          <w:rFonts w:eastAsia="Calibri"/>
          <w:lang w:val="es-MX"/>
        </w:rPr>
        <w:t xml:space="preserve">idual. El modelo promedio de </w:t>
      </w:r>
      <w:r>
        <w:rPr>
          <w:rFonts w:eastAsia="Calibri"/>
          <w:lang w:val="es-MX"/>
        </w:rPr>
        <w:t xml:space="preserve">población permite </w:t>
      </w:r>
      <w:r w:rsidR="006616A0">
        <w:rPr>
          <w:rFonts w:eastAsia="Calibri"/>
          <w:lang w:val="es-MX"/>
        </w:rPr>
        <w:t>una variación aleatoria de los</w:t>
      </w:r>
      <w:r>
        <w:rPr>
          <w:rFonts w:eastAsia="Calibri"/>
          <w:lang w:val="es-MX"/>
        </w:rPr>
        <w:t xml:space="preserve"> </w:t>
      </w:r>
      <w:r w:rsidR="006616A0">
        <w:rPr>
          <w:rFonts w:eastAsia="Calibri"/>
          <w:lang w:val="es-MX"/>
        </w:rPr>
        <w:t>términos del error</w:t>
      </w:r>
      <w:r w:rsidR="000215A5">
        <w:rPr>
          <w:rFonts w:eastAsia="Calibri"/>
          <w:lang w:val="es-MX"/>
        </w:rPr>
        <w:t xml:space="preserve"> a nivel</w:t>
      </w:r>
      <w:r>
        <w:rPr>
          <w:rFonts w:eastAsia="Calibri"/>
          <w:lang w:val="es-MX"/>
        </w:rPr>
        <w:t xml:space="preserve"> vecindario y </w:t>
      </w:r>
      <w:r w:rsidR="006616A0">
        <w:rPr>
          <w:rFonts w:eastAsia="Calibri"/>
          <w:lang w:val="es-MX"/>
        </w:rPr>
        <w:t>estima así</w:t>
      </w:r>
      <w:r w:rsidR="00075798">
        <w:rPr>
          <w:rFonts w:eastAsia="Calibri"/>
          <w:lang w:val="es-MX"/>
        </w:rPr>
        <w:t>,</w:t>
      </w:r>
      <w:r w:rsidR="006616A0">
        <w:rPr>
          <w:rFonts w:eastAsia="Calibri"/>
          <w:lang w:val="es-MX"/>
        </w:rPr>
        <w:t xml:space="preserve"> </w:t>
      </w:r>
      <w:r>
        <w:rPr>
          <w:rFonts w:eastAsia="Calibri"/>
          <w:lang w:val="es-MX"/>
        </w:rPr>
        <w:t>el cambio esperado en el</w:t>
      </w:r>
      <w:r w:rsidR="000215A5">
        <w:rPr>
          <w:rFonts w:eastAsia="Calibri"/>
          <w:lang w:val="es-MX"/>
        </w:rPr>
        <w:t xml:space="preserve"> resultado promedio de</w:t>
      </w:r>
      <w:r>
        <w:rPr>
          <w:rFonts w:eastAsia="Calibri"/>
          <w:lang w:val="es-MX"/>
        </w:rPr>
        <w:t xml:space="preserve"> la </w:t>
      </w:r>
      <w:r w:rsidRPr="00C80C7D">
        <w:rPr>
          <w:rFonts w:eastAsia="Calibri"/>
          <w:lang w:val="es-MX"/>
        </w:rPr>
        <w:t xml:space="preserve">población, no solo para los vecindarios que comparten la </w:t>
      </w:r>
      <w:r w:rsidR="006616A0" w:rsidRPr="00C80C7D">
        <w:rPr>
          <w:rFonts w:eastAsia="Calibri"/>
          <w:lang w:val="es-MX"/>
        </w:rPr>
        <w:t>varianza de</w:t>
      </w:r>
      <w:r w:rsidR="00C80C7D" w:rsidRPr="00C80C7D">
        <w:rPr>
          <w:rFonts w:eastAsia="Calibri"/>
          <w:lang w:val="es-MX"/>
        </w:rPr>
        <w:t>l</w:t>
      </w:r>
      <w:r w:rsidR="006616A0" w:rsidRPr="00C80C7D">
        <w:rPr>
          <w:rFonts w:eastAsia="Calibri"/>
          <w:lang w:val="es-MX"/>
        </w:rPr>
        <w:t xml:space="preserve"> error</w:t>
      </w:r>
      <w:r>
        <w:rPr>
          <w:rFonts w:eastAsia="Calibri"/>
          <w:lang w:val="es-MX"/>
        </w:rPr>
        <w:t xml:space="preserve">. Esta característica es </w:t>
      </w:r>
      <w:r w:rsidR="00AE596B">
        <w:rPr>
          <w:rFonts w:eastAsia="Calibri"/>
          <w:lang w:val="es-MX"/>
        </w:rPr>
        <w:t>contingente sobre</w:t>
      </w:r>
      <w:r w:rsidR="006616A0">
        <w:rPr>
          <w:rFonts w:eastAsia="Calibri"/>
          <w:lang w:val="es-MX"/>
        </w:rPr>
        <w:t xml:space="preserve"> la función logit</w:t>
      </w:r>
      <w:r>
        <w:rPr>
          <w:rFonts w:eastAsia="Calibri"/>
          <w:lang w:val="es-MX"/>
        </w:rPr>
        <w:t xml:space="preserve"> no lineal. </w:t>
      </w:r>
      <w:r w:rsidR="006616A0">
        <w:rPr>
          <w:rFonts w:eastAsia="Calibri"/>
          <w:lang w:val="es-MX"/>
        </w:rPr>
        <w:t>El m</w:t>
      </w:r>
      <w:r>
        <w:rPr>
          <w:rFonts w:eastAsia="Calibri"/>
          <w:lang w:val="es-MX"/>
        </w:rPr>
        <w:t xml:space="preserve">odelo 3 </w:t>
      </w:r>
      <w:r w:rsidR="006616A0">
        <w:rPr>
          <w:rFonts w:eastAsia="Calibri"/>
          <w:lang w:val="es-MX"/>
        </w:rPr>
        <w:t xml:space="preserve">representa un modelo multinivel completo que estudia </w:t>
      </w:r>
      <w:r>
        <w:rPr>
          <w:rFonts w:eastAsia="Calibri"/>
          <w:lang w:val="es-MX"/>
        </w:rPr>
        <w:t xml:space="preserve">la probabilidad de ser cuestionado </w:t>
      </w:r>
      <w:r w:rsidR="000215A5">
        <w:rPr>
          <w:rFonts w:eastAsia="Calibri"/>
          <w:lang w:val="es-MX"/>
        </w:rPr>
        <w:t>sobre el</w:t>
      </w:r>
      <w:r w:rsidR="006616A0">
        <w:rPr>
          <w:rFonts w:eastAsia="Calibri"/>
          <w:lang w:val="es-MX"/>
        </w:rPr>
        <w:t xml:space="preserve"> estatus de ciudadanía por las agencias policiacas</w:t>
      </w:r>
      <w:r>
        <w:rPr>
          <w:rFonts w:eastAsia="Calibri"/>
          <w:lang w:val="es-MX"/>
        </w:rPr>
        <w:t>:</w:t>
      </w:r>
    </w:p>
    <w:p w14:paraId="111F0883" w14:textId="6C0F261E" w:rsidR="00B103CA" w:rsidRPr="00B103CA" w:rsidRDefault="001C0F5D" w:rsidP="00F0717A">
      <w:pPr>
        <w:spacing w:line="480" w:lineRule="auto"/>
        <w:jc w:val="both"/>
        <w:rPr>
          <w:rFonts w:eastAsia="Calibri"/>
          <w:lang w:val="es-MX"/>
        </w:rPr>
      </w:pPr>
      <w:r>
        <w:rPr>
          <w:rFonts w:eastAsia="Calibri"/>
          <w:lang w:val="es-MX"/>
        </w:rPr>
        <w:t xml:space="preserve">Modelo </w:t>
      </w:r>
      <w:r w:rsidR="006616A0">
        <w:rPr>
          <w:rFonts w:eastAsia="Calibri"/>
          <w:lang w:val="es-MX"/>
        </w:rPr>
        <w:t>Nivel-1</w:t>
      </w:r>
    </w:p>
    <w:p w14:paraId="1615F6D0" w14:textId="77777777" w:rsidR="00B103CA" w:rsidRPr="00B103CA" w:rsidRDefault="00B103CA" w:rsidP="00F0717A">
      <w:pPr>
        <w:spacing w:line="480" w:lineRule="auto"/>
        <w:jc w:val="both"/>
        <w:rPr>
          <w:rFonts w:eastAsia="Calibri"/>
          <w:lang w:val="es-MX"/>
        </w:rPr>
      </w:pPr>
      <w:r w:rsidRPr="00B103CA">
        <w:rPr>
          <w:rFonts w:eastAsia="Calibri"/>
          <w:lang w:val="es-MX"/>
        </w:rPr>
        <w:tab/>
        <w:t>Prob(Y=1|B) = P</w:t>
      </w:r>
    </w:p>
    <w:p w14:paraId="18D14DD2" w14:textId="732CD802" w:rsidR="00B103CA" w:rsidRPr="00584175" w:rsidRDefault="00B103CA" w:rsidP="00F0717A">
      <w:pPr>
        <w:spacing w:line="480" w:lineRule="auto"/>
        <w:jc w:val="both"/>
        <w:rPr>
          <w:rFonts w:eastAsia="Calibri"/>
        </w:rPr>
      </w:pPr>
      <w:r w:rsidRPr="00B103CA">
        <w:rPr>
          <w:rFonts w:eastAsia="Calibri"/>
          <w:lang w:val="es-MX"/>
        </w:rPr>
        <w:tab/>
      </w:r>
      <w:r w:rsidR="00AE596B">
        <w:rPr>
          <w:rFonts w:eastAsia="Calibri"/>
        </w:rPr>
        <w:t>log[P/(1-P)] = B0 + B1*(EDAD</w:t>
      </w:r>
      <w:r w:rsidRPr="00584175">
        <w:rPr>
          <w:rFonts w:eastAsia="Calibri"/>
        </w:rPr>
        <w:t>Q23</w:t>
      </w:r>
      <w:r w:rsidR="00AE596B">
        <w:rPr>
          <w:rFonts w:eastAsia="Calibri"/>
        </w:rPr>
        <w:t>5) + B2*(SEXQ236) + B3*(HISPANO) + B4*(PRIMERAGEN) + B5*(SEG</w:t>
      </w:r>
      <w:r w:rsidRPr="00584175">
        <w:rPr>
          <w:rFonts w:eastAsia="Calibri"/>
        </w:rPr>
        <w:t xml:space="preserve">GENB) </w:t>
      </w:r>
    </w:p>
    <w:p w14:paraId="7DFA028B" w14:textId="46AC125B" w:rsidR="00B103CA" w:rsidRPr="00B103CA" w:rsidRDefault="001C0F5D" w:rsidP="00F0717A">
      <w:pPr>
        <w:spacing w:line="480" w:lineRule="auto"/>
        <w:jc w:val="both"/>
        <w:rPr>
          <w:rFonts w:eastAsia="Calibri"/>
          <w:lang w:val="es-MX"/>
        </w:rPr>
      </w:pPr>
      <w:r>
        <w:rPr>
          <w:rFonts w:eastAsia="Calibri"/>
          <w:lang w:val="es-MX"/>
        </w:rPr>
        <w:t>Modelo</w:t>
      </w:r>
      <w:r w:rsidR="006616A0">
        <w:rPr>
          <w:rFonts w:eastAsia="Calibri"/>
          <w:lang w:val="es-MX"/>
        </w:rPr>
        <w:t xml:space="preserve"> Nivel- 2</w:t>
      </w:r>
    </w:p>
    <w:p w14:paraId="7B4090CB" w14:textId="6E27FE26" w:rsidR="00B103CA" w:rsidRPr="00B103CA" w:rsidRDefault="00AE596B" w:rsidP="00F0717A">
      <w:pPr>
        <w:spacing w:line="480" w:lineRule="auto"/>
        <w:jc w:val="both"/>
        <w:rPr>
          <w:rFonts w:eastAsia="Calibri"/>
          <w:lang w:val="es-MX"/>
        </w:rPr>
      </w:pPr>
      <w:r>
        <w:rPr>
          <w:rFonts w:eastAsia="Calibri"/>
          <w:lang w:val="es-MX"/>
        </w:rPr>
        <w:tab/>
        <w:t>B0 = G00 + G01*(MENOR QUE</w:t>
      </w:r>
      <w:r w:rsidR="00B103CA" w:rsidRPr="00B103CA">
        <w:rPr>
          <w:rFonts w:eastAsia="Calibri"/>
          <w:lang w:val="es-MX"/>
        </w:rPr>
        <w:t>) + G02*(</w:t>
      </w:r>
      <w:r>
        <w:rPr>
          <w:rFonts w:eastAsia="Calibri"/>
          <w:lang w:val="es-MX"/>
        </w:rPr>
        <w:t>ENCLAVEBAJO</w:t>
      </w:r>
      <w:r w:rsidR="00B103CA" w:rsidRPr="00B103CA">
        <w:rPr>
          <w:rFonts w:eastAsia="Calibri"/>
          <w:lang w:val="es-MX"/>
        </w:rPr>
        <w:t>) + G03*(</w:t>
      </w:r>
      <w:r>
        <w:rPr>
          <w:rFonts w:eastAsia="Calibri"/>
          <w:lang w:val="es-MX"/>
        </w:rPr>
        <w:t>ENCLAVEMED</w:t>
      </w:r>
      <w:r w:rsidR="00B103CA" w:rsidRPr="00B103CA">
        <w:rPr>
          <w:rFonts w:eastAsia="Calibri"/>
          <w:lang w:val="es-MX"/>
        </w:rPr>
        <w:t>) + u0</w:t>
      </w:r>
    </w:p>
    <w:p w14:paraId="1865EB92" w14:textId="77777777" w:rsidR="00B103CA" w:rsidRPr="00420A77" w:rsidRDefault="00B103CA" w:rsidP="00F0717A">
      <w:pPr>
        <w:jc w:val="both"/>
        <w:rPr>
          <w:rFonts w:eastAsia="Calibri"/>
          <w:lang w:val="es-MX"/>
        </w:rPr>
      </w:pPr>
      <w:r w:rsidRPr="00420A77">
        <w:rPr>
          <w:rFonts w:eastAsia="Calibri"/>
          <w:lang w:val="es-MX"/>
        </w:rPr>
        <w:lastRenderedPageBreak/>
        <w:t>.</w:t>
      </w:r>
    </w:p>
    <w:p w14:paraId="30715F42" w14:textId="77777777" w:rsidR="00B103CA" w:rsidRPr="00420A77" w:rsidRDefault="00B103CA" w:rsidP="00F0717A">
      <w:pPr>
        <w:jc w:val="both"/>
        <w:rPr>
          <w:rFonts w:eastAsia="Calibri"/>
          <w:lang w:val="es-MX"/>
        </w:rPr>
      </w:pPr>
      <w:r w:rsidRPr="00420A77">
        <w:rPr>
          <w:rFonts w:eastAsia="Calibri"/>
          <w:lang w:val="es-MX"/>
        </w:rPr>
        <w:t>.</w:t>
      </w:r>
    </w:p>
    <w:p w14:paraId="6657A7BF" w14:textId="77777777" w:rsidR="00B103CA" w:rsidRPr="00420A77" w:rsidRDefault="00B103CA" w:rsidP="00F0717A">
      <w:pPr>
        <w:jc w:val="both"/>
        <w:rPr>
          <w:rFonts w:eastAsia="Calibri"/>
          <w:lang w:val="es-MX"/>
        </w:rPr>
      </w:pPr>
      <w:r w:rsidRPr="00420A77">
        <w:rPr>
          <w:rFonts w:eastAsia="Calibri"/>
          <w:lang w:val="es-MX"/>
        </w:rPr>
        <w:t>.</w:t>
      </w:r>
    </w:p>
    <w:p w14:paraId="4324B726" w14:textId="0951F161" w:rsidR="00B103CA" w:rsidRPr="001C0F5D" w:rsidRDefault="00AE596B" w:rsidP="00F0717A">
      <w:pPr>
        <w:spacing w:line="480" w:lineRule="auto"/>
        <w:jc w:val="both"/>
        <w:rPr>
          <w:rFonts w:eastAsia="Calibri"/>
          <w:lang w:val="es-MX"/>
        </w:rPr>
      </w:pPr>
      <w:r>
        <w:rPr>
          <w:rFonts w:eastAsia="Calibri"/>
          <w:lang w:val="es-MX"/>
        </w:rPr>
        <w:t>EDAD</w:t>
      </w:r>
      <w:r w:rsidR="00B103CA" w:rsidRPr="001C0F5D">
        <w:rPr>
          <w:rFonts w:eastAsia="Calibri"/>
          <w:lang w:val="es-MX"/>
        </w:rPr>
        <w:t xml:space="preserve">Q235 </w:t>
      </w:r>
      <w:r w:rsidR="00075798">
        <w:rPr>
          <w:rFonts w:eastAsia="Calibri"/>
          <w:lang w:val="es-MX"/>
        </w:rPr>
        <w:t xml:space="preserve">se centra </w:t>
      </w:r>
      <w:r w:rsidR="001C0F5D">
        <w:rPr>
          <w:rFonts w:eastAsia="Calibri"/>
          <w:lang w:val="es-MX"/>
        </w:rPr>
        <w:t>en torno al</w:t>
      </w:r>
      <w:r w:rsidR="001C0F5D" w:rsidRPr="001C0F5D">
        <w:rPr>
          <w:rFonts w:eastAsia="Calibri"/>
          <w:lang w:val="es-MX"/>
        </w:rPr>
        <w:t xml:space="preserve"> </w:t>
      </w:r>
      <w:r>
        <w:rPr>
          <w:rFonts w:eastAsia="Calibri"/>
          <w:lang w:val="es-MX"/>
        </w:rPr>
        <w:t xml:space="preserve">gran </w:t>
      </w:r>
      <w:r w:rsidR="001C0F5D" w:rsidRPr="001C0F5D">
        <w:rPr>
          <w:rFonts w:eastAsia="Calibri"/>
          <w:lang w:val="es-MX"/>
        </w:rPr>
        <w:t xml:space="preserve">promedio </w:t>
      </w:r>
    </w:p>
    <w:p w14:paraId="0C1CA902" w14:textId="4C928D35" w:rsidR="00B103CA" w:rsidRPr="001C0F5D" w:rsidRDefault="00AE596B" w:rsidP="00F0717A">
      <w:pPr>
        <w:spacing w:line="480" w:lineRule="auto"/>
        <w:jc w:val="both"/>
        <w:rPr>
          <w:rFonts w:eastAsia="Calibri"/>
          <w:lang w:val="es-MX"/>
        </w:rPr>
      </w:pPr>
      <w:r>
        <w:rPr>
          <w:rFonts w:eastAsia="Calibri"/>
          <w:lang w:val="es-MX"/>
        </w:rPr>
        <w:t>MENORQUE</w:t>
      </w:r>
      <w:r w:rsidR="00B103CA" w:rsidRPr="001C0F5D">
        <w:rPr>
          <w:rFonts w:eastAsia="Calibri"/>
          <w:lang w:val="es-MX"/>
        </w:rPr>
        <w:t xml:space="preserve"> </w:t>
      </w:r>
      <w:r w:rsidR="00075798">
        <w:rPr>
          <w:rFonts w:eastAsia="Calibri"/>
          <w:lang w:val="es-MX"/>
        </w:rPr>
        <w:t>se centra en torno al</w:t>
      </w:r>
      <w:r w:rsidR="001C0F5D" w:rsidRPr="001C0F5D">
        <w:rPr>
          <w:rFonts w:eastAsia="Calibri"/>
          <w:lang w:val="es-MX"/>
        </w:rPr>
        <w:t xml:space="preserve"> </w:t>
      </w:r>
      <w:r>
        <w:rPr>
          <w:rFonts w:eastAsia="Calibri"/>
          <w:lang w:val="es-MX"/>
        </w:rPr>
        <w:t xml:space="preserve">gran </w:t>
      </w:r>
      <w:r w:rsidR="001C0F5D" w:rsidRPr="001C0F5D">
        <w:rPr>
          <w:rFonts w:eastAsia="Calibri"/>
          <w:lang w:val="es-MX"/>
        </w:rPr>
        <w:t>promedio</w:t>
      </w:r>
      <w:r>
        <w:rPr>
          <w:rFonts w:eastAsia="Calibri"/>
          <w:lang w:val="es-MX"/>
        </w:rPr>
        <w:t xml:space="preserve"> </w:t>
      </w:r>
    </w:p>
    <w:p w14:paraId="1DC5DC91" w14:textId="5CFF8FBF" w:rsidR="00B103CA" w:rsidRPr="00196FBC" w:rsidRDefault="00196FBC" w:rsidP="00F0717A">
      <w:pPr>
        <w:spacing w:line="480" w:lineRule="auto"/>
        <w:jc w:val="both"/>
        <w:rPr>
          <w:rFonts w:eastAsia="Calibri"/>
          <w:lang w:val="es-MX"/>
        </w:rPr>
      </w:pPr>
      <w:r w:rsidRPr="00196FBC">
        <w:rPr>
          <w:rFonts w:eastAsia="Calibri"/>
          <w:lang w:val="es-MX"/>
        </w:rPr>
        <w:t>Nivel 1-varianza</w:t>
      </w:r>
      <w:r w:rsidR="00B103CA" w:rsidRPr="00196FBC">
        <w:rPr>
          <w:rFonts w:eastAsia="Calibri"/>
          <w:lang w:val="es-MX"/>
        </w:rPr>
        <w:t>= 1/[P(1-P)]</w:t>
      </w:r>
      <w:r w:rsidRPr="00196FBC">
        <w:rPr>
          <w:rFonts w:eastAsia="Calibri"/>
          <w:lang w:val="es-MX"/>
        </w:rPr>
        <w:t xml:space="preserve"> </w:t>
      </w:r>
    </w:p>
    <w:p w14:paraId="1149435A" w14:textId="5B1E4ECB" w:rsidR="00B103CA" w:rsidRPr="00196FBC" w:rsidRDefault="00196FBC" w:rsidP="00F0717A">
      <w:pPr>
        <w:spacing w:line="480" w:lineRule="auto"/>
        <w:jc w:val="both"/>
        <w:rPr>
          <w:rFonts w:eastAsia="Calibri"/>
          <w:lang w:val="es-MX"/>
        </w:rPr>
      </w:pPr>
      <w:r w:rsidRPr="00196FBC">
        <w:rPr>
          <w:rFonts w:eastAsia="Calibri"/>
          <w:lang w:val="es-MX"/>
        </w:rPr>
        <w:t xml:space="preserve">Modelo </w:t>
      </w:r>
      <w:r w:rsidR="009C1810">
        <w:rPr>
          <w:rFonts w:eastAsia="Calibri"/>
          <w:lang w:val="es-MX"/>
        </w:rPr>
        <w:t>Mixto</w:t>
      </w:r>
      <w:r>
        <w:rPr>
          <w:rFonts w:eastAsia="Calibri"/>
          <w:lang w:val="es-MX"/>
        </w:rPr>
        <w:t xml:space="preserve"> </w:t>
      </w:r>
    </w:p>
    <w:p w14:paraId="42A98500" w14:textId="004BFA9C" w:rsidR="00B103CA" w:rsidRPr="002C2B6D" w:rsidRDefault="00B103CA" w:rsidP="00F0717A">
      <w:pPr>
        <w:spacing w:line="480" w:lineRule="auto"/>
        <w:jc w:val="both"/>
        <w:rPr>
          <w:rFonts w:eastAsia="Calibri"/>
          <w:lang w:val="es-MX"/>
        </w:rPr>
      </w:pPr>
      <w:r w:rsidRPr="00196FBC">
        <w:rPr>
          <w:rFonts w:eastAsia="Calibri"/>
          <w:lang w:val="es-MX"/>
        </w:rPr>
        <w:t xml:space="preserve">    </w:t>
      </w:r>
      <w:r w:rsidRPr="002C2B6D">
        <w:rPr>
          <w:rFonts w:eastAsia="Calibri"/>
          <w:lang w:val="es-MX"/>
        </w:rPr>
        <w:t>eta = G00 + G01*</w:t>
      </w:r>
      <w:r w:rsidR="00AE596B" w:rsidRPr="00AE596B">
        <w:rPr>
          <w:rFonts w:eastAsia="Calibri"/>
          <w:lang w:val="es-MX"/>
        </w:rPr>
        <w:t xml:space="preserve"> </w:t>
      </w:r>
      <w:r w:rsidR="00AE596B">
        <w:rPr>
          <w:rFonts w:eastAsia="Calibri"/>
          <w:lang w:val="es-MX"/>
        </w:rPr>
        <w:t>MENORQUE + G02*</w:t>
      </w:r>
      <w:r w:rsidR="00AE596B" w:rsidRPr="00AE596B">
        <w:rPr>
          <w:rFonts w:eastAsia="Calibri"/>
          <w:lang w:val="es-MX"/>
        </w:rPr>
        <w:t xml:space="preserve"> </w:t>
      </w:r>
      <w:r w:rsidR="00AE596B">
        <w:rPr>
          <w:rFonts w:eastAsia="Calibri"/>
          <w:lang w:val="es-MX"/>
        </w:rPr>
        <w:t>ENCLAVEBAJO + G03*</w:t>
      </w:r>
      <w:r w:rsidR="00AE596B" w:rsidRPr="00AE596B">
        <w:rPr>
          <w:rFonts w:eastAsia="Calibri"/>
          <w:lang w:val="es-MX"/>
        </w:rPr>
        <w:t xml:space="preserve"> </w:t>
      </w:r>
      <w:r w:rsidR="00AE596B">
        <w:rPr>
          <w:rFonts w:eastAsia="Calibri"/>
          <w:lang w:val="es-MX"/>
        </w:rPr>
        <w:t>ENCLAVEMED</w:t>
      </w:r>
      <w:r w:rsidRPr="002C2B6D">
        <w:rPr>
          <w:rFonts w:eastAsia="Calibri"/>
          <w:lang w:val="es-MX"/>
        </w:rPr>
        <w:t xml:space="preserve"> </w:t>
      </w:r>
    </w:p>
    <w:p w14:paraId="7C601867" w14:textId="67FF5F95" w:rsidR="00B103CA" w:rsidRPr="00B103CA" w:rsidRDefault="00B103CA" w:rsidP="00F0717A">
      <w:pPr>
        <w:spacing w:line="480" w:lineRule="auto"/>
        <w:jc w:val="both"/>
        <w:rPr>
          <w:rFonts w:eastAsia="Calibri"/>
        </w:rPr>
      </w:pPr>
      <w:r w:rsidRPr="002C2B6D">
        <w:rPr>
          <w:rFonts w:eastAsia="Calibri"/>
          <w:lang w:val="es-MX"/>
        </w:rPr>
        <w:t xml:space="preserve">    </w:t>
      </w:r>
      <w:r w:rsidR="00AE596B">
        <w:rPr>
          <w:rFonts w:eastAsia="Calibri"/>
        </w:rPr>
        <w:t>+ G10*EDAD</w:t>
      </w:r>
      <w:r w:rsidRPr="00B103CA">
        <w:rPr>
          <w:rFonts w:eastAsia="Calibri"/>
        </w:rPr>
        <w:t xml:space="preserve">Q235 </w:t>
      </w:r>
    </w:p>
    <w:p w14:paraId="0D952B98" w14:textId="77777777" w:rsidR="00B103CA" w:rsidRPr="00B103CA" w:rsidRDefault="00B103CA" w:rsidP="00F0717A">
      <w:pPr>
        <w:spacing w:line="480" w:lineRule="auto"/>
        <w:jc w:val="both"/>
        <w:rPr>
          <w:rFonts w:eastAsia="Calibri"/>
        </w:rPr>
      </w:pPr>
      <w:r w:rsidRPr="00B103CA">
        <w:rPr>
          <w:rFonts w:eastAsia="Calibri"/>
        </w:rPr>
        <w:t xml:space="preserve">    + G20*SEXQ236 </w:t>
      </w:r>
    </w:p>
    <w:p w14:paraId="2EB62995" w14:textId="662DEAA7" w:rsidR="00B103CA" w:rsidRPr="00B103CA" w:rsidRDefault="00AE596B" w:rsidP="00F0717A">
      <w:pPr>
        <w:spacing w:line="480" w:lineRule="auto"/>
        <w:jc w:val="both"/>
        <w:rPr>
          <w:rFonts w:eastAsia="Calibri"/>
        </w:rPr>
      </w:pPr>
      <w:r>
        <w:rPr>
          <w:rFonts w:eastAsia="Calibri"/>
        </w:rPr>
        <w:t xml:space="preserve">    + G30*HISPANO</w:t>
      </w:r>
      <w:r w:rsidR="00B103CA" w:rsidRPr="00B103CA">
        <w:rPr>
          <w:rFonts w:eastAsia="Calibri"/>
        </w:rPr>
        <w:t xml:space="preserve"> </w:t>
      </w:r>
    </w:p>
    <w:p w14:paraId="1D65F7EC" w14:textId="62A57DCC" w:rsidR="00B103CA" w:rsidRPr="00420A77" w:rsidRDefault="00B103CA" w:rsidP="00F0717A">
      <w:pPr>
        <w:spacing w:line="480" w:lineRule="auto"/>
        <w:jc w:val="both"/>
        <w:rPr>
          <w:rFonts w:eastAsia="Calibri"/>
          <w:lang w:val="es-MX"/>
        </w:rPr>
      </w:pPr>
      <w:r w:rsidRPr="00B103CA">
        <w:rPr>
          <w:rFonts w:eastAsia="Calibri"/>
        </w:rPr>
        <w:t xml:space="preserve">    </w:t>
      </w:r>
      <w:r w:rsidR="00AE596B">
        <w:rPr>
          <w:rFonts w:eastAsia="Calibri"/>
          <w:lang w:val="es-MX"/>
        </w:rPr>
        <w:t>+ G40*PRIMERA</w:t>
      </w:r>
      <w:r w:rsidRPr="00420A77">
        <w:rPr>
          <w:rFonts w:eastAsia="Calibri"/>
          <w:lang w:val="es-MX"/>
        </w:rPr>
        <w:t xml:space="preserve">GEN </w:t>
      </w:r>
    </w:p>
    <w:p w14:paraId="6BE4D473" w14:textId="4BBE121D" w:rsidR="00B103CA" w:rsidRPr="00420A77" w:rsidRDefault="00AE596B" w:rsidP="00F0717A">
      <w:pPr>
        <w:spacing w:line="480" w:lineRule="auto"/>
        <w:jc w:val="both"/>
        <w:rPr>
          <w:rFonts w:eastAsia="Calibri"/>
          <w:lang w:val="es-MX"/>
        </w:rPr>
      </w:pPr>
      <w:r>
        <w:rPr>
          <w:rFonts w:eastAsia="Calibri"/>
          <w:lang w:val="es-MX"/>
        </w:rPr>
        <w:t xml:space="preserve">    + G50*SEG</w:t>
      </w:r>
      <w:r w:rsidR="00B103CA" w:rsidRPr="00420A77">
        <w:rPr>
          <w:rFonts w:eastAsia="Calibri"/>
          <w:lang w:val="es-MX"/>
        </w:rPr>
        <w:t xml:space="preserve">GENB </w:t>
      </w:r>
    </w:p>
    <w:p w14:paraId="38C04555" w14:textId="44B73710" w:rsidR="00650ADD" w:rsidRPr="00420A77" w:rsidRDefault="00B103CA" w:rsidP="00F0717A">
      <w:pPr>
        <w:spacing w:line="480" w:lineRule="auto"/>
        <w:jc w:val="both"/>
        <w:rPr>
          <w:rFonts w:eastAsia="Calibri"/>
          <w:lang w:val="es-MX"/>
        </w:rPr>
      </w:pPr>
      <w:r w:rsidRPr="00420A77">
        <w:rPr>
          <w:rFonts w:eastAsia="Calibri"/>
          <w:lang w:val="es-MX"/>
        </w:rPr>
        <w:t xml:space="preserve">     + u0</w:t>
      </w:r>
    </w:p>
    <w:p w14:paraId="6FEA893C" w14:textId="46B7C3B8" w:rsidR="00B51638" w:rsidRPr="00135ACF" w:rsidRDefault="00196FBC" w:rsidP="00F0717A">
      <w:pPr>
        <w:spacing w:line="480" w:lineRule="auto"/>
        <w:jc w:val="both"/>
        <w:rPr>
          <w:rFonts w:eastAsia="Calibri"/>
          <w:lang w:val="es-MX"/>
        </w:rPr>
      </w:pPr>
      <w:r w:rsidRPr="00135ACF">
        <w:rPr>
          <w:rFonts w:eastAsia="Calibri"/>
          <w:lang w:val="es-MX"/>
        </w:rPr>
        <w:t>RESULTADOS</w:t>
      </w:r>
    </w:p>
    <w:p w14:paraId="47A23804" w14:textId="49CC4B1A" w:rsidR="00135ACF" w:rsidRPr="00295204" w:rsidRDefault="00196FBC" w:rsidP="00F0717A">
      <w:pPr>
        <w:spacing w:line="480" w:lineRule="auto"/>
        <w:ind w:firstLine="720"/>
        <w:jc w:val="both"/>
        <w:rPr>
          <w:rFonts w:eastAsiaTheme="minorHAnsi"/>
          <w:lang w:val="es-MX"/>
        </w:rPr>
      </w:pPr>
      <w:r w:rsidRPr="00295204">
        <w:rPr>
          <w:rFonts w:eastAsiaTheme="minorHAnsi"/>
          <w:lang w:val="es-MX"/>
        </w:rPr>
        <w:t xml:space="preserve">El análisis de fondo </w:t>
      </w:r>
      <w:r w:rsidR="006616A0" w:rsidRPr="00295204">
        <w:rPr>
          <w:rFonts w:eastAsiaTheme="minorHAnsi"/>
          <w:lang w:val="es-MX"/>
        </w:rPr>
        <w:t>mostr</w:t>
      </w:r>
      <w:r w:rsidR="009C1810" w:rsidRPr="00295204">
        <w:rPr>
          <w:rFonts w:eastAsiaTheme="minorHAnsi"/>
          <w:lang w:val="es-MX"/>
        </w:rPr>
        <w:t>ó</w:t>
      </w:r>
      <w:r w:rsidR="006616A0" w:rsidRPr="00295204">
        <w:rPr>
          <w:rFonts w:eastAsiaTheme="minorHAnsi"/>
          <w:lang w:val="es-MX"/>
        </w:rPr>
        <w:t xml:space="preserve"> </w:t>
      </w:r>
      <w:r w:rsidRPr="00295204">
        <w:rPr>
          <w:rFonts w:eastAsiaTheme="minorHAnsi"/>
          <w:lang w:val="es-MX"/>
        </w:rPr>
        <w:t xml:space="preserve">una relación entre el estatus generacional y el ser cuestionado </w:t>
      </w:r>
      <w:r w:rsidR="002F1E2C" w:rsidRPr="00295204">
        <w:rPr>
          <w:rFonts w:eastAsiaTheme="minorHAnsi"/>
          <w:lang w:val="es-MX"/>
        </w:rPr>
        <w:t xml:space="preserve">sobre </w:t>
      </w:r>
      <w:r w:rsidR="006616A0" w:rsidRPr="00295204">
        <w:rPr>
          <w:rFonts w:eastAsiaTheme="minorHAnsi"/>
          <w:lang w:val="es-MX"/>
        </w:rPr>
        <w:t>su estatus de ciudadanía por las agencias policiacas. De manera específica</w:t>
      </w:r>
      <w:r w:rsidRPr="00295204">
        <w:rPr>
          <w:rFonts w:eastAsiaTheme="minorHAnsi"/>
          <w:lang w:val="es-MX"/>
        </w:rPr>
        <w:t xml:space="preserve">, el 23.5 </w:t>
      </w:r>
      <w:r w:rsidR="006616A0" w:rsidRPr="00295204">
        <w:rPr>
          <w:rFonts w:eastAsiaTheme="minorHAnsi"/>
          <w:lang w:val="es-MX"/>
        </w:rPr>
        <w:t xml:space="preserve">% de las personas </w:t>
      </w:r>
      <w:r w:rsidRPr="00295204">
        <w:rPr>
          <w:rFonts w:eastAsiaTheme="minorHAnsi"/>
          <w:lang w:val="es-MX"/>
        </w:rPr>
        <w:t>de la segunda</w:t>
      </w:r>
      <w:r w:rsidR="009C1810" w:rsidRPr="00295204">
        <w:rPr>
          <w:rFonts w:eastAsiaTheme="minorHAnsi"/>
          <w:lang w:val="es-MX"/>
        </w:rPr>
        <w:t xml:space="preserve"> generación han sido cuestionada</w:t>
      </w:r>
      <w:r w:rsidRPr="00295204">
        <w:rPr>
          <w:rFonts w:eastAsiaTheme="minorHAnsi"/>
          <w:lang w:val="es-MX"/>
        </w:rPr>
        <w:t>s</w:t>
      </w:r>
      <w:r w:rsidR="006616A0" w:rsidRPr="00295204">
        <w:rPr>
          <w:rFonts w:eastAsiaTheme="minorHAnsi"/>
          <w:lang w:val="es-MX"/>
        </w:rPr>
        <w:t xml:space="preserve"> sobre su </w:t>
      </w:r>
      <w:r w:rsidRPr="00295204">
        <w:rPr>
          <w:rFonts w:eastAsiaTheme="minorHAnsi"/>
          <w:lang w:val="es-MX"/>
        </w:rPr>
        <w:t>estatus de ciudadanía por lo menos una vez, s</w:t>
      </w:r>
      <w:r w:rsidR="002F1E2C" w:rsidRPr="00295204">
        <w:rPr>
          <w:rFonts w:eastAsiaTheme="minorHAnsi"/>
          <w:lang w:val="es-MX"/>
        </w:rPr>
        <w:t>eguida</w:t>
      </w:r>
      <w:r w:rsidR="006616A0" w:rsidRPr="00295204">
        <w:rPr>
          <w:rFonts w:eastAsiaTheme="minorHAnsi"/>
          <w:lang w:val="es-MX"/>
        </w:rPr>
        <w:t>s</w:t>
      </w:r>
      <w:r w:rsidR="00AE596B" w:rsidRPr="00295204">
        <w:rPr>
          <w:rFonts w:eastAsiaTheme="minorHAnsi"/>
          <w:lang w:val="es-MX"/>
        </w:rPr>
        <w:t xml:space="preserve"> por un 20</w:t>
      </w:r>
      <w:r w:rsidR="006616A0" w:rsidRPr="00295204">
        <w:rPr>
          <w:rFonts w:eastAsiaTheme="minorHAnsi"/>
          <w:lang w:val="es-MX"/>
        </w:rPr>
        <w:t xml:space="preserve">% </w:t>
      </w:r>
      <w:r w:rsidR="00AE596B" w:rsidRPr="00295204">
        <w:rPr>
          <w:rFonts w:eastAsiaTheme="minorHAnsi"/>
          <w:lang w:val="es-MX"/>
        </w:rPr>
        <w:t>de</w:t>
      </w:r>
      <w:r w:rsidR="006616A0" w:rsidRPr="00295204">
        <w:rPr>
          <w:rFonts w:eastAsiaTheme="minorHAnsi"/>
          <w:lang w:val="es-MX"/>
        </w:rPr>
        <w:t xml:space="preserve"> personas</w:t>
      </w:r>
      <w:r w:rsidRPr="00295204">
        <w:rPr>
          <w:rFonts w:eastAsiaTheme="minorHAnsi"/>
          <w:lang w:val="es-MX"/>
        </w:rPr>
        <w:t xml:space="preserve"> de </w:t>
      </w:r>
      <w:r w:rsidR="006616A0" w:rsidRPr="00295204">
        <w:rPr>
          <w:rFonts w:eastAsiaTheme="minorHAnsi"/>
          <w:lang w:val="es-MX"/>
        </w:rPr>
        <w:t xml:space="preserve">la </w:t>
      </w:r>
      <w:r w:rsidRPr="00295204">
        <w:rPr>
          <w:rFonts w:eastAsiaTheme="minorHAnsi"/>
          <w:lang w:val="es-MX"/>
        </w:rPr>
        <w:t xml:space="preserve">primera generación y un 13.3 </w:t>
      </w:r>
      <w:r w:rsidR="006616A0" w:rsidRPr="00295204">
        <w:rPr>
          <w:rFonts w:eastAsiaTheme="minorHAnsi"/>
          <w:lang w:val="es-MX"/>
        </w:rPr>
        <w:t xml:space="preserve">% </w:t>
      </w:r>
      <w:r w:rsidRPr="00295204">
        <w:rPr>
          <w:rFonts w:eastAsiaTheme="minorHAnsi"/>
          <w:lang w:val="es-MX"/>
        </w:rPr>
        <w:t xml:space="preserve">de </w:t>
      </w:r>
      <w:r w:rsidR="006616A0" w:rsidRPr="00295204">
        <w:rPr>
          <w:rFonts w:eastAsiaTheme="minorHAnsi"/>
          <w:lang w:val="es-MX"/>
        </w:rPr>
        <w:t xml:space="preserve">la tercera generación o posterior </w:t>
      </w:r>
      <w:r w:rsidRPr="00295204">
        <w:rPr>
          <w:rFonts w:eastAsiaTheme="minorHAnsi"/>
          <w:lang w:val="es-MX"/>
        </w:rPr>
        <w:t>(</w:t>
      </w:r>
      <w:r w:rsidRPr="00295204">
        <w:rPr>
          <w:rFonts w:eastAsiaTheme="minorHAnsi"/>
          <w:i/>
        </w:rPr>
        <w:t>χ</w:t>
      </w:r>
      <w:r w:rsidRPr="00295204">
        <w:rPr>
          <w:rFonts w:eastAsiaTheme="minorHAnsi"/>
          <w:i/>
          <w:vertAlign w:val="superscript"/>
          <w:lang w:val="es-MX"/>
        </w:rPr>
        <w:t>2</w:t>
      </w:r>
      <w:r w:rsidRPr="00295204">
        <w:rPr>
          <w:rFonts w:eastAsiaTheme="minorHAnsi"/>
          <w:i/>
          <w:lang w:val="es-MX"/>
        </w:rPr>
        <w:t>= 9.120, p.&lt;.01</w:t>
      </w:r>
      <w:r w:rsidRPr="00295204">
        <w:rPr>
          <w:rFonts w:eastAsiaTheme="minorHAnsi"/>
          <w:lang w:val="es-MX"/>
        </w:rPr>
        <w:t xml:space="preserve">).  </w:t>
      </w:r>
      <w:r w:rsidR="00135ACF" w:rsidRPr="00295204">
        <w:rPr>
          <w:rFonts w:eastAsiaTheme="minorHAnsi"/>
          <w:lang w:val="es-MX"/>
        </w:rPr>
        <w:t xml:space="preserve">Con respecto a la etnicidad, </w:t>
      </w:r>
      <w:r w:rsidR="007F4BAE" w:rsidRPr="00295204">
        <w:rPr>
          <w:rFonts w:eastAsiaTheme="minorHAnsi"/>
          <w:lang w:val="es-MX"/>
        </w:rPr>
        <w:t>el 87.2</w:t>
      </w:r>
      <w:r w:rsidR="006616A0" w:rsidRPr="00295204">
        <w:rPr>
          <w:rFonts w:eastAsiaTheme="minorHAnsi"/>
          <w:lang w:val="es-MX"/>
        </w:rPr>
        <w:t>%</w:t>
      </w:r>
      <w:r w:rsidR="00135ACF" w:rsidRPr="00295204">
        <w:rPr>
          <w:rFonts w:eastAsiaTheme="minorHAnsi"/>
          <w:lang w:val="es-MX"/>
        </w:rPr>
        <w:t xml:space="preserve"> de </w:t>
      </w:r>
      <w:r w:rsidR="006616A0" w:rsidRPr="00295204">
        <w:rPr>
          <w:rFonts w:eastAsiaTheme="minorHAnsi"/>
          <w:lang w:val="es-MX"/>
        </w:rPr>
        <w:t xml:space="preserve">quienes </w:t>
      </w:r>
      <w:r w:rsidR="00135ACF" w:rsidRPr="00295204">
        <w:rPr>
          <w:rFonts w:eastAsiaTheme="minorHAnsi"/>
          <w:lang w:val="es-MX"/>
        </w:rPr>
        <w:t xml:space="preserve">fueron cuestionados </w:t>
      </w:r>
      <w:r w:rsidR="006616A0" w:rsidRPr="00295204">
        <w:rPr>
          <w:rFonts w:eastAsiaTheme="minorHAnsi"/>
          <w:lang w:val="es-MX"/>
        </w:rPr>
        <w:t>sobre</w:t>
      </w:r>
      <w:r w:rsidR="00135ACF" w:rsidRPr="00295204">
        <w:rPr>
          <w:rFonts w:eastAsiaTheme="minorHAnsi"/>
          <w:lang w:val="es-MX"/>
        </w:rPr>
        <w:t xml:space="preserve"> su estatus de ciudadanía </w:t>
      </w:r>
      <w:r w:rsidR="007F4BAE" w:rsidRPr="00295204">
        <w:rPr>
          <w:rFonts w:eastAsiaTheme="minorHAnsi"/>
          <w:lang w:val="es-MX"/>
        </w:rPr>
        <w:t>eran</w:t>
      </w:r>
      <w:r w:rsidR="002F1E2C" w:rsidRPr="00295204">
        <w:rPr>
          <w:rFonts w:eastAsiaTheme="minorHAnsi"/>
          <w:lang w:val="es-MX"/>
        </w:rPr>
        <w:t xml:space="preserve"> </w:t>
      </w:r>
      <w:r w:rsidR="006616A0" w:rsidRPr="00295204">
        <w:rPr>
          <w:rFonts w:eastAsiaTheme="minorHAnsi"/>
          <w:lang w:val="es-MX"/>
        </w:rPr>
        <w:t>l</w:t>
      </w:r>
      <w:r w:rsidR="009C1810" w:rsidRPr="00295204">
        <w:rPr>
          <w:rFonts w:eastAsiaTheme="minorHAnsi"/>
          <w:lang w:val="es-MX"/>
        </w:rPr>
        <w:t>atinos</w:t>
      </w:r>
      <w:r w:rsidR="006616A0" w:rsidRPr="00295204">
        <w:rPr>
          <w:rFonts w:eastAsiaTheme="minorHAnsi"/>
          <w:lang w:val="es-MX"/>
        </w:rPr>
        <w:t xml:space="preserve">, pero los resultados </w:t>
      </w:r>
      <w:r w:rsidR="00135ACF" w:rsidRPr="00295204">
        <w:rPr>
          <w:rFonts w:eastAsiaTheme="minorHAnsi"/>
          <w:lang w:val="es-MX"/>
        </w:rPr>
        <w:t xml:space="preserve"> </w:t>
      </w:r>
      <w:r w:rsidR="00FA34BA" w:rsidRPr="00295204">
        <w:rPr>
          <w:rFonts w:eastAsiaTheme="minorHAnsi"/>
          <w:lang w:val="es-MX"/>
        </w:rPr>
        <w:t>no son importantes</w:t>
      </w:r>
      <w:r w:rsidR="002F1E2C" w:rsidRPr="00295204">
        <w:rPr>
          <w:rFonts w:eastAsiaTheme="minorHAnsi"/>
          <w:lang w:val="es-MX"/>
        </w:rPr>
        <w:t>, estadísticamente</w:t>
      </w:r>
      <w:r w:rsidR="00135ACF" w:rsidRPr="00295204">
        <w:rPr>
          <w:rFonts w:eastAsiaTheme="minorHAnsi"/>
          <w:lang w:val="es-MX"/>
        </w:rPr>
        <w:t>. Esto no</w:t>
      </w:r>
      <w:r w:rsidR="009C1810" w:rsidRPr="00295204">
        <w:rPr>
          <w:rFonts w:eastAsiaTheme="minorHAnsi"/>
          <w:lang w:val="es-MX"/>
        </w:rPr>
        <w:t xml:space="preserve"> sorprende</w:t>
      </w:r>
      <w:r w:rsidR="007F4BAE" w:rsidRPr="00295204">
        <w:rPr>
          <w:rFonts w:eastAsiaTheme="minorHAnsi"/>
          <w:lang w:val="es-MX"/>
        </w:rPr>
        <w:t>, ya que El Paso es 86</w:t>
      </w:r>
      <w:r w:rsidR="00FA34BA" w:rsidRPr="00295204">
        <w:rPr>
          <w:rFonts w:eastAsiaTheme="minorHAnsi"/>
          <w:lang w:val="es-MX"/>
        </w:rPr>
        <w:t>% latino</w:t>
      </w:r>
      <w:r w:rsidR="00135ACF" w:rsidRPr="00295204">
        <w:rPr>
          <w:rFonts w:eastAsiaTheme="minorHAnsi"/>
          <w:lang w:val="es-MX"/>
        </w:rPr>
        <w:t xml:space="preserve"> y </w:t>
      </w:r>
      <w:r w:rsidR="00FA34BA" w:rsidRPr="00295204">
        <w:rPr>
          <w:rFonts w:eastAsiaTheme="minorHAnsi"/>
          <w:lang w:val="es-MX"/>
        </w:rPr>
        <w:t>por lo tanto la</w:t>
      </w:r>
      <w:r w:rsidR="00135ACF" w:rsidRPr="00295204">
        <w:rPr>
          <w:rFonts w:eastAsiaTheme="minorHAnsi"/>
          <w:lang w:val="es-MX"/>
        </w:rPr>
        <w:t xml:space="preserve"> ciudadanía</w:t>
      </w:r>
      <w:r w:rsidR="00135ACF" w:rsidRPr="005C2312">
        <w:rPr>
          <w:rFonts w:eastAsiaTheme="minorHAnsi"/>
          <w:lang w:val="es-MX"/>
        </w:rPr>
        <w:t>,</w:t>
      </w:r>
      <w:r w:rsidR="00135ACF" w:rsidRPr="00295204">
        <w:rPr>
          <w:rFonts w:eastAsiaTheme="minorHAnsi"/>
          <w:color w:val="FF0000"/>
          <w:lang w:val="es-MX"/>
        </w:rPr>
        <w:t xml:space="preserve"> </w:t>
      </w:r>
      <w:r w:rsidR="009C1810" w:rsidRPr="00295204">
        <w:rPr>
          <w:rFonts w:eastAsiaTheme="minorHAnsi"/>
          <w:lang w:val="es-MX"/>
        </w:rPr>
        <w:t>más que un</w:t>
      </w:r>
      <w:r w:rsidR="00FA34BA" w:rsidRPr="00295204">
        <w:rPr>
          <w:rFonts w:eastAsiaTheme="minorHAnsi"/>
          <w:lang w:val="es-MX"/>
        </w:rPr>
        <w:t xml:space="preserve"> perfil étnico es más significativo. </w:t>
      </w:r>
      <w:r w:rsidR="009C1810" w:rsidRPr="00295204">
        <w:rPr>
          <w:rFonts w:eastAsiaTheme="minorHAnsi"/>
          <w:lang w:val="es-MX"/>
        </w:rPr>
        <w:t>Así</w:t>
      </w:r>
      <w:r w:rsidR="00135ACF" w:rsidRPr="00295204">
        <w:rPr>
          <w:rFonts w:eastAsiaTheme="minorHAnsi"/>
          <w:lang w:val="es-MX"/>
        </w:rPr>
        <w:t>, estos análisis bivar</w:t>
      </w:r>
      <w:r w:rsidR="009C1810" w:rsidRPr="00295204">
        <w:rPr>
          <w:rFonts w:eastAsiaTheme="minorHAnsi"/>
          <w:lang w:val="es-MX"/>
        </w:rPr>
        <w:t>i</w:t>
      </w:r>
      <w:r w:rsidR="00135ACF" w:rsidRPr="00295204">
        <w:rPr>
          <w:rFonts w:eastAsiaTheme="minorHAnsi"/>
          <w:lang w:val="es-MX"/>
        </w:rPr>
        <w:t xml:space="preserve">ables </w:t>
      </w:r>
      <w:r w:rsidR="00BF50B7" w:rsidRPr="00295204">
        <w:rPr>
          <w:rFonts w:eastAsiaTheme="minorHAnsi"/>
          <w:lang w:val="es-MX"/>
        </w:rPr>
        <w:t xml:space="preserve">proporcionan una visión </w:t>
      </w:r>
      <w:r w:rsidR="009C1810" w:rsidRPr="00295204">
        <w:rPr>
          <w:rFonts w:eastAsiaTheme="minorHAnsi"/>
          <w:lang w:val="es-MX"/>
        </w:rPr>
        <w:t>preliminar</w:t>
      </w:r>
      <w:r w:rsidR="00BF50B7" w:rsidRPr="00295204">
        <w:rPr>
          <w:rFonts w:eastAsiaTheme="minorHAnsi"/>
          <w:lang w:val="es-MX"/>
        </w:rPr>
        <w:t xml:space="preserve"> de </w:t>
      </w:r>
      <w:r w:rsidR="006A53DE" w:rsidRPr="00295204">
        <w:rPr>
          <w:rFonts w:eastAsiaTheme="minorHAnsi"/>
          <w:lang w:val="es-MX"/>
        </w:rPr>
        <w:t xml:space="preserve">quien es categorizado por </w:t>
      </w:r>
      <w:r w:rsidR="00BF50B7" w:rsidRPr="00295204">
        <w:rPr>
          <w:rFonts w:eastAsiaTheme="minorHAnsi"/>
          <w:lang w:val="es-MX"/>
        </w:rPr>
        <w:t>la policía como no ciudadano.</w:t>
      </w:r>
      <w:r w:rsidR="00135ACF" w:rsidRPr="00295204">
        <w:rPr>
          <w:rFonts w:eastAsiaTheme="minorHAnsi"/>
          <w:lang w:val="es-MX"/>
        </w:rPr>
        <w:t xml:space="preserve"> </w:t>
      </w:r>
    </w:p>
    <w:p w14:paraId="0FFCF257" w14:textId="27C62066" w:rsidR="00135ACF" w:rsidRPr="00DF518B" w:rsidRDefault="00BF50B7" w:rsidP="00F0717A">
      <w:pPr>
        <w:spacing w:line="480" w:lineRule="auto"/>
        <w:ind w:firstLine="720"/>
        <w:jc w:val="both"/>
        <w:rPr>
          <w:lang w:val="es-MX"/>
        </w:rPr>
      </w:pPr>
      <w:r w:rsidRPr="00295204">
        <w:rPr>
          <w:lang w:val="es-MX"/>
        </w:rPr>
        <w:lastRenderedPageBreak/>
        <w:t xml:space="preserve"> </w:t>
      </w:r>
      <w:r w:rsidR="0055669E" w:rsidRPr="00295204">
        <w:rPr>
          <w:lang w:val="es-MX"/>
        </w:rPr>
        <w:t>La tabla</w:t>
      </w:r>
      <w:r w:rsidR="00135ACF" w:rsidRPr="00295204">
        <w:rPr>
          <w:lang w:val="es-MX"/>
        </w:rPr>
        <w:t xml:space="preserve"> 2 represen</w:t>
      </w:r>
      <w:r w:rsidRPr="00295204">
        <w:rPr>
          <w:lang w:val="es-MX"/>
        </w:rPr>
        <w:t>ta los</w:t>
      </w:r>
      <w:r w:rsidR="00135ACF" w:rsidRPr="00295204">
        <w:rPr>
          <w:lang w:val="es-MX"/>
        </w:rPr>
        <w:t xml:space="preserve"> modelo</w:t>
      </w:r>
      <w:r w:rsidRPr="00295204">
        <w:rPr>
          <w:lang w:val="es-MX"/>
        </w:rPr>
        <w:t>s</w:t>
      </w:r>
      <w:r w:rsidR="00135ACF" w:rsidRPr="00295204">
        <w:rPr>
          <w:lang w:val="es-MX"/>
        </w:rPr>
        <w:t xml:space="preserve"> multinivel</w:t>
      </w:r>
      <w:r w:rsidRPr="00295204">
        <w:rPr>
          <w:lang w:val="es-MX"/>
        </w:rPr>
        <w:t>es</w:t>
      </w:r>
      <w:r w:rsidR="00135ACF" w:rsidRPr="00295204">
        <w:rPr>
          <w:lang w:val="es-MX"/>
        </w:rPr>
        <w:t xml:space="preserve"> HGLM </w:t>
      </w:r>
      <w:r w:rsidR="0076457A" w:rsidRPr="00295204">
        <w:rPr>
          <w:lang w:val="es-MX"/>
        </w:rPr>
        <w:t>que</w:t>
      </w:r>
      <w:r w:rsidRPr="00295204">
        <w:rPr>
          <w:lang w:val="es-MX"/>
        </w:rPr>
        <w:t xml:space="preserve"> </w:t>
      </w:r>
      <w:r w:rsidR="009C1810" w:rsidRPr="00295204">
        <w:rPr>
          <w:lang w:val="es-MX"/>
        </w:rPr>
        <w:t>predice</w:t>
      </w:r>
      <w:r w:rsidR="006A53DE" w:rsidRPr="00295204">
        <w:rPr>
          <w:lang w:val="es-MX"/>
        </w:rPr>
        <w:t>n</w:t>
      </w:r>
      <w:r w:rsidRPr="00295204">
        <w:rPr>
          <w:lang w:val="es-MX"/>
        </w:rPr>
        <w:t xml:space="preserve"> las </w:t>
      </w:r>
      <w:r w:rsidR="0076457A" w:rsidRPr="00295204">
        <w:rPr>
          <w:lang w:val="es-MX"/>
        </w:rPr>
        <w:t>posibilidades</w:t>
      </w:r>
      <w:r w:rsidRPr="00295204">
        <w:rPr>
          <w:lang w:val="es-MX"/>
        </w:rPr>
        <w:t xml:space="preserve"> de</w:t>
      </w:r>
      <w:r>
        <w:rPr>
          <w:lang w:val="es-MX"/>
        </w:rPr>
        <w:t xml:space="preserve"> ser </w:t>
      </w:r>
      <w:r w:rsidR="0076457A">
        <w:rPr>
          <w:lang w:val="es-MX"/>
        </w:rPr>
        <w:t>cuestionado</w:t>
      </w:r>
      <w:r w:rsidR="009C1810">
        <w:rPr>
          <w:lang w:val="es-MX"/>
        </w:rPr>
        <w:t xml:space="preserve"> sobre la</w:t>
      </w:r>
      <w:r>
        <w:rPr>
          <w:lang w:val="es-MX"/>
        </w:rPr>
        <w:t xml:space="preserve"> </w:t>
      </w:r>
      <w:r w:rsidR="0076457A">
        <w:rPr>
          <w:lang w:val="es-MX"/>
        </w:rPr>
        <w:t>ciudadanía</w:t>
      </w:r>
      <w:r>
        <w:rPr>
          <w:lang w:val="es-MX"/>
        </w:rPr>
        <w:t xml:space="preserve"> por las agencias policiacas. El modelo </w:t>
      </w:r>
      <w:r w:rsidR="00D5447D" w:rsidRPr="00D5447D">
        <w:rPr>
          <w:lang w:val="es-MX"/>
        </w:rPr>
        <w:t>nulo</w:t>
      </w:r>
      <w:r w:rsidRPr="00D5447D">
        <w:rPr>
          <w:lang w:val="es-MX"/>
        </w:rPr>
        <w:t xml:space="preserve"> </w:t>
      </w:r>
      <w:r>
        <w:rPr>
          <w:lang w:val="es-MX"/>
        </w:rPr>
        <w:t xml:space="preserve">(Modelo 1) es un modelo preliminar que determina </w:t>
      </w:r>
      <w:r w:rsidR="00135ACF" w:rsidRPr="00135ACF">
        <w:rPr>
          <w:lang w:val="es-MX"/>
        </w:rPr>
        <w:t xml:space="preserve"> </w:t>
      </w:r>
      <w:r w:rsidR="009C1810">
        <w:rPr>
          <w:lang w:val="es-MX"/>
        </w:rPr>
        <w:t xml:space="preserve">la probabilidad logarítmica </w:t>
      </w:r>
      <w:r w:rsidR="00D5447D">
        <w:rPr>
          <w:lang w:val="es-MX"/>
        </w:rPr>
        <w:t xml:space="preserve">que se espera </w:t>
      </w:r>
      <w:r>
        <w:rPr>
          <w:lang w:val="es-MX"/>
        </w:rPr>
        <w:t xml:space="preserve">de ser preguntado </w:t>
      </w:r>
      <w:r w:rsidR="009C1810">
        <w:rPr>
          <w:lang w:val="es-MX"/>
        </w:rPr>
        <w:t xml:space="preserve">sobre el </w:t>
      </w:r>
      <w:r w:rsidR="00135ACF">
        <w:rPr>
          <w:lang w:val="es-MX"/>
        </w:rPr>
        <w:t xml:space="preserve">estatus de </w:t>
      </w:r>
      <w:r w:rsidR="00DF518B">
        <w:rPr>
          <w:lang w:val="es-MX"/>
        </w:rPr>
        <w:t>ciudadanía</w:t>
      </w:r>
      <w:r>
        <w:rPr>
          <w:lang w:val="es-MX"/>
        </w:rPr>
        <w:t xml:space="preserve"> por las agencias policiacas</w:t>
      </w:r>
      <w:r w:rsidR="00135ACF">
        <w:rPr>
          <w:lang w:val="es-MX"/>
        </w:rPr>
        <w:t xml:space="preserve">. </w:t>
      </w:r>
      <w:r w:rsidR="009C1810">
        <w:rPr>
          <w:lang w:val="es-MX"/>
        </w:rPr>
        <w:t xml:space="preserve">El </w:t>
      </w:r>
      <w:r w:rsidR="00135ACF">
        <w:rPr>
          <w:lang w:val="es-MX"/>
        </w:rPr>
        <w:t xml:space="preserve">Modelo 1 excluye </w:t>
      </w:r>
      <w:r>
        <w:rPr>
          <w:lang w:val="es-MX"/>
        </w:rPr>
        <w:t>los indicadores a</w:t>
      </w:r>
      <w:r w:rsidR="00135ACF">
        <w:rPr>
          <w:lang w:val="es-MX"/>
        </w:rPr>
        <w:t xml:space="preserve"> nivel individual y de vecindario</w:t>
      </w:r>
      <w:r>
        <w:rPr>
          <w:lang w:val="es-MX"/>
        </w:rPr>
        <w:t xml:space="preserve">. </w:t>
      </w:r>
      <w:r w:rsidR="00135ACF">
        <w:rPr>
          <w:lang w:val="es-MX"/>
        </w:rPr>
        <w:t>En este caso,</w:t>
      </w:r>
      <w:r w:rsidR="009C1810">
        <w:rPr>
          <w:lang w:val="es-MX"/>
        </w:rPr>
        <w:t xml:space="preserve"> </w:t>
      </w:r>
      <w:r>
        <w:rPr>
          <w:lang w:val="es-MX"/>
        </w:rPr>
        <w:t xml:space="preserve">las probabilidades </w:t>
      </w:r>
      <w:r w:rsidR="009C1810">
        <w:rPr>
          <w:lang w:val="es-MX"/>
        </w:rPr>
        <w:t xml:space="preserve">logarítmicas </w:t>
      </w:r>
      <w:r>
        <w:rPr>
          <w:lang w:val="es-MX"/>
        </w:rPr>
        <w:t>esperad</w:t>
      </w:r>
      <w:r w:rsidR="009C1810">
        <w:rPr>
          <w:lang w:val="es-MX"/>
        </w:rPr>
        <w:t>a</w:t>
      </w:r>
      <w:r>
        <w:rPr>
          <w:lang w:val="es-MX"/>
        </w:rPr>
        <w:t>s</w:t>
      </w:r>
      <w:r w:rsidR="0076457A">
        <w:rPr>
          <w:lang w:val="es-MX"/>
        </w:rPr>
        <w:t xml:space="preserve"> corresponden a una </w:t>
      </w:r>
      <w:r w:rsidR="00135ACF">
        <w:rPr>
          <w:lang w:val="es-MX"/>
        </w:rPr>
        <w:t>probabilidad de 1</w:t>
      </w:r>
      <w:r w:rsidR="00135ACF" w:rsidRPr="00135ACF">
        <w:rPr>
          <w:lang w:val="es-MX"/>
        </w:rPr>
        <w:t>/(1 + exp{1.542819}) = .18</w:t>
      </w:r>
      <w:r w:rsidR="00135ACF">
        <w:rPr>
          <w:lang w:val="es-MX"/>
        </w:rPr>
        <w:t xml:space="preserve"> de</w:t>
      </w:r>
      <w:r w:rsidR="0076457A">
        <w:rPr>
          <w:lang w:val="es-MX"/>
        </w:rPr>
        <w:t xml:space="preserve"> personas </w:t>
      </w:r>
      <w:r w:rsidR="008F7882">
        <w:rPr>
          <w:lang w:val="es-MX"/>
        </w:rPr>
        <w:t xml:space="preserve">a las </w:t>
      </w:r>
      <w:r w:rsidR="0076457A">
        <w:rPr>
          <w:lang w:val="es-MX"/>
        </w:rPr>
        <w:t xml:space="preserve">que se les cuestione su ciudadanía por las agencia policiacas. </w:t>
      </w:r>
      <w:r w:rsidR="00DF518B">
        <w:rPr>
          <w:lang w:val="es-MX"/>
        </w:rPr>
        <w:t xml:space="preserve"> La intercepción</w:t>
      </w:r>
      <w:r w:rsidR="0076457A">
        <w:rPr>
          <w:lang w:val="es-MX"/>
        </w:rPr>
        <w:t xml:space="preserve"> fue </w:t>
      </w:r>
      <w:r w:rsidR="00DF518B">
        <w:rPr>
          <w:lang w:val="es-MX"/>
        </w:rPr>
        <w:t>significativame</w:t>
      </w:r>
      <w:r w:rsidR="009C1810">
        <w:rPr>
          <w:lang w:val="es-MX"/>
        </w:rPr>
        <w:t>nte diferente de 0</w:t>
      </w:r>
      <w:r w:rsidR="00DF518B">
        <w:rPr>
          <w:lang w:val="es-MX"/>
        </w:rPr>
        <w:t xml:space="preserve"> </w:t>
      </w:r>
      <w:r w:rsidR="00DF518B" w:rsidRPr="00DF518B">
        <w:rPr>
          <w:lang w:val="es-MX"/>
        </w:rPr>
        <w:t>(</w:t>
      </w:r>
      <w:r w:rsidR="0086735E">
        <w:rPr>
          <w:i/>
          <w:lang w:val="es-MX"/>
        </w:rPr>
        <w:t>valor-p</w:t>
      </w:r>
      <w:r w:rsidR="00DF518B" w:rsidRPr="00DF518B">
        <w:rPr>
          <w:lang w:val="es-MX"/>
        </w:rPr>
        <w:t xml:space="preserve"> &lt;0.001), </w:t>
      </w:r>
      <w:r w:rsidR="00DF518B">
        <w:rPr>
          <w:lang w:val="es-MX"/>
        </w:rPr>
        <w:t xml:space="preserve">es decir la tasa de </w:t>
      </w:r>
      <w:r w:rsidR="0076457A">
        <w:rPr>
          <w:lang w:val="es-MX"/>
        </w:rPr>
        <w:t xml:space="preserve">personas </w:t>
      </w:r>
      <w:r w:rsidR="009C1810">
        <w:rPr>
          <w:lang w:val="es-MX"/>
        </w:rPr>
        <w:t xml:space="preserve">a las que se les cuestionó </w:t>
      </w:r>
      <w:r w:rsidR="0076457A">
        <w:rPr>
          <w:lang w:val="es-MX"/>
        </w:rPr>
        <w:t xml:space="preserve">su </w:t>
      </w:r>
      <w:r w:rsidR="00DF518B">
        <w:rPr>
          <w:lang w:val="es-MX"/>
        </w:rPr>
        <w:t xml:space="preserve">estatus de ciudadanía por </w:t>
      </w:r>
      <w:r w:rsidR="0076457A">
        <w:rPr>
          <w:lang w:val="es-MX"/>
        </w:rPr>
        <w:t>las agencias policiacas</w:t>
      </w:r>
      <w:r w:rsidR="009C1810">
        <w:rPr>
          <w:lang w:val="es-MX"/>
        </w:rPr>
        <w:t xml:space="preserve"> es significativamente diferente</w:t>
      </w:r>
      <w:r w:rsidR="00DF518B">
        <w:rPr>
          <w:lang w:val="es-MX"/>
        </w:rPr>
        <w:t xml:space="preserve"> </w:t>
      </w:r>
      <w:r w:rsidR="0076457A">
        <w:rPr>
          <w:lang w:val="es-MX"/>
        </w:rPr>
        <w:t xml:space="preserve">de quienes </w:t>
      </w:r>
      <w:r w:rsidR="00DF518B">
        <w:rPr>
          <w:lang w:val="es-MX"/>
        </w:rPr>
        <w:t xml:space="preserve">no fueron cuestionadas y </w:t>
      </w:r>
      <w:r w:rsidR="0076457A">
        <w:rPr>
          <w:lang w:val="es-MX"/>
        </w:rPr>
        <w:t xml:space="preserve">que ser cuestionado varía en los vecindarios. </w:t>
      </w:r>
      <w:r w:rsidR="00DF518B">
        <w:rPr>
          <w:lang w:val="es-MX"/>
        </w:rPr>
        <w:t xml:space="preserve"> </w:t>
      </w:r>
    </w:p>
    <w:tbl>
      <w:tblPr>
        <w:tblStyle w:val="TableGrid"/>
        <w:tblW w:w="0" w:type="auto"/>
        <w:tblLook w:val="04A0" w:firstRow="1" w:lastRow="0" w:firstColumn="1" w:lastColumn="0" w:noHBand="0" w:noVBand="1"/>
      </w:tblPr>
      <w:tblGrid>
        <w:gridCol w:w="2337"/>
        <w:gridCol w:w="2337"/>
        <w:gridCol w:w="2338"/>
        <w:gridCol w:w="2338"/>
      </w:tblGrid>
      <w:tr w:rsidR="009F6351" w:rsidRPr="008632E6" w14:paraId="22D86548" w14:textId="77777777" w:rsidTr="00874E20">
        <w:tc>
          <w:tcPr>
            <w:tcW w:w="9350" w:type="dxa"/>
            <w:gridSpan w:val="4"/>
          </w:tcPr>
          <w:p w14:paraId="69CAC444" w14:textId="6F1ABEC0" w:rsidR="009F6351" w:rsidRPr="0076457A" w:rsidRDefault="002F1E2C" w:rsidP="008F7882">
            <w:pPr>
              <w:spacing w:line="480" w:lineRule="auto"/>
              <w:jc w:val="both"/>
              <w:rPr>
                <w:lang w:val="es-MX"/>
              </w:rPr>
            </w:pPr>
            <w:r>
              <w:rPr>
                <w:lang w:val="es-MX"/>
              </w:rPr>
              <w:t>Tabla</w:t>
            </w:r>
            <w:r w:rsidR="009F6351" w:rsidRPr="0076457A">
              <w:rPr>
                <w:lang w:val="es-MX"/>
              </w:rPr>
              <w:t xml:space="preserve"> 2. </w:t>
            </w:r>
            <w:r>
              <w:rPr>
                <w:lang w:val="es-MX"/>
              </w:rPr>
              <w:t xml:space="preserve">Análisis </w:t>
            </w:r>
            <w:r w:rsidR="008F7882" w:rsidRPr="0076457A">
              <w:rPr>
                <w:lang w:val="es-MX"/>
              </w:rPr>
              <w:t xml:space="preserve">HGLM </w:t>
            </w:r>
            <w:r>
              <w:rPr>
                <w:lang w:val="es-MX"/>
              </w:rPr>
              <w:t>de p</w:t>
            </w:r>
            <w:r w:rsidR="0076457A" w:rsidRPr="0076457A">
              <w:rPr>
                <w:lang w:val="es-MX"/>
              </w:rPr>
              <w:t>robabilidades de ser cuestionados sobre la ciudadanía</w:t>
            </w:r>
          </w:p>
        </w:tc>
      </w:tr>
      <w:tr w:rsidR="009F6351" w:rsidRPr="00363550" w14:paraId="717DEE30" w14:textId="77777777" w:rsidTr="00874E20">
        <w:tc>
          <w:tcPr>
            <w:tcW w:w="2337" w:type="dxa"/>
          </w:tcPr>
          <w:p w14:paraId="62B2494E" w14:textId="77777777" w:rsidR="009F6351" w:rsidRPr="0076457A" w:rsidRDefault="009F6351" w:rsidP="00F0717A">
            <w:pPr>
              <w:spacing w:line="480" w:lineRule="auto"/>
              <w:jc w:val="both"/>
              <w:rPr>
                <w:lang w:val="es-MX"/>
              </w:rPr>
            </w:pPr>
          </w:p>
        </w:tc>
        <w:tc>
          <w:tcPr>
            <w:tcW w:w="2337" w:type="dxa"/>
          </w:tcPr>
          <w:p w14:paraId="6CB3207B" w14:textId="3D7E585B" w:rsidR="009F6351" w:rsidRPr="00363550" w:rsidRDefault="009F6351" w:rsidP="00F0717A">
            <w:pPr>
              <w:spacing w:line="480" w:lineRule="auto"/>
              <w:jc w:val="both"/>
            </w:pPr>
            <w:r w:rsidRPr="00363550">
              <w:t>Model</w:t>
            </w:r>
            <w:r w:rsidR="0076457A">
              <w:t>o</w:t>
            </w:r>
            <w:r w:rsidRPr="00363550">
              <w:t xml:space="preserve"> 1</w:t>
            </w:r>
          </w:p>
        </w:tc>
        <w:tc>
          <w:tcPr>
            <w:tcW w:w="2338" w:type="dxa"/>
          </w:tcPr>
          <w:p w14:paraId="2EF20526" w14:textId="331081F0" w:rsidR="009F6351" w:rsidRPr="00363550" w:rsidRDefault="009F6351" w:rsidP="00F0717A">
            <w:pPr>
              <w:spacing w:line="480" w:lineRule="auto"/>
              <w:jc w:val="both"/>
            </w:pPr>
            <w:r w:rsidRPr="00363550">
              <w:t>Model</w:t>
            </w:r>
            <w:r w:rsidR="0076457A">
              <w:t>o</w:t>
            </w:r>
            <w:r w:rsidRPr="00363550">
              <w:t xml:space="preserve"> 2</w:t>
            </w:r>
          </w:p>
        </w:tc>
        <w:tc>
          <w:tcPr>
            <w:tcW w:w="2338" w:type="dxa"/>
          </w:tcPr>
          <w:p w14:paraId="15BC3D07" w14:textId="1B5596BA" w:rsidR="009F6351" w:rsidRPr="00363550" w:rsidRDefault="009F6351" w:rsidP="00F0717A">
            <w:pPr>
              <w:spacing w:line="480" w:lineRule="auto"/>
              <w:jc w:val="both"/>
            </w:pPr>
            <w:r w:rsidRPr="00363550">
              <w:t>Model</w:t>
            </w:r>
            <w:r w:rsidR="0076457A">
              <w:t>o</w:t>
            </w:r>
            <w:r w:rsidRPr="00363550">
              <w:t xml:space="preserve"> 3</w:t>
            </w:r>
          </w:p>
        </w:tc>
      </w:tr>
      <w:tr w:rsidR="009F6351" w:rsidRPr="00363550" w14:paraId="134EB362" w14:textId="77777777" w:rsidTr="00874E20">
        <w:tc>
          <w:tcPr>
            <w:tcW w:w="2337" w:type="dxa"/>
          </w:tcPr>
          <w:p w14:paraId="07278D92" w14:textId="4E376083" w:rsidR="009F6351" w:rsidRPr="00363550" w:rsidRDefault="0076457A" w:rsidP="00F0717A">
            <w:pPr>
              <w:spacing w:line="480" w:lineRule="auto"/>
              <w:jc w:val="both"/>
              <w:rPr>
                <w:b/>
              </w:rPr>
            </w:pPr>
            <w:r>
              <w:rPr>
                <w:b/>
              </w:rPr>
              <w:t>Nivel-1</w:t>
            </w:r>
          </w:p>
        </w:tc>
        <w:tc>
          <w:tcPr>
            <w:tcW w:w="2337" w:type="dxa"/>
          </w:tcPr>
          <w:p w14:paraId="136EBD55" w14:textId="77777777" w:rsidR="009F6351" w:rsidRPr="00363550" w:rsidRDefault="009F6351" w:rsidP="00F0717A">
            <w:pPr>
              <w:spacing w:line="480" w:lineRule="auto"/>
              <w:jc w:val="both"/>
            </w:pPr>
          </w:p>
        </w:tc>
        <w:tc>
          <w:tcPr>
            <w:tcW w:w="2338" w:type="dxa"/>
          </w:tcPr>
          <w:p w14:paraId="1A622E90" w14:textId="77777777" w:rsidR="009F6351" w:rsidRPr="00363550" w:rsidRDefault="009F6351" w:rsidP="00F0717A">
            <w:pPr>
              <w:spacing w:line="480" w:lineRule="auto"/>
              <w:jc w:val="both"/>
            </w:pPr>
          </w:p>
        </w:tc>
        <w:tc>
          <w:tcPr>
            <w:tcW w:w="2338" w:type="dxa"/>
          </w:tcPr>
          <w:p w14:paraId="43A10522" w14:textId="77777777" w:rsidR="009F6351" w:rsidRPr="00363550" w:rsidRDefault="009F6351" w:rsidP="00F0717A">
            <w:pPr>
              <w:spacing w:line="480" w:lineRule="auto"/>
              <w:jc w:val="both"/>
            </w:pPr>
          </w:p>
        </w:tc>
      </w:tr>
      <w:tr w:rsidR="009F6351" w:rsidRPr="00363550" w14:paraId="04A3801D" w14:textId="77777777" w:rsidTr="00874E20">
        <w:tc>
          <w:tcPr>
            <w:tcW w:w="2337" w:type="dxa"/>
          </w:tcPr>
          <w:p w14:paraId="4D447BC3" w14:textId="3301ED95" w:rsidR="009F6351" w:rsidRPr="00363550" w:rsidRDefault="0076457A" w:rsidP="00F0717A">
            <w:pPr>
              <w:spacing w:line="480" w:lineRule="auto"/>
              <w:jc w:val="both"/>
            </w:pPr>
            <w:r>
              <w:t xml:space="preserve">Intercepción </w:t>
            </w:r>
            <w:r w:rsidR="009F6351">
              <w:t xml:space="preserve"> </w:t>
            </w:r>
          </w:p>
        </w:tc>
        <w:tc>
          <w:tcPr>
            <w:tcW w:w="2337" w:type="dxa"/>
          </w:tcPr>
          <w:p w14:paraId="574CB46A" w14:textId="77777777" w:rsidR="009F6351" w:rsidRPr="00363550" w:rsidRDefault="009F6351" w:rsidP="00F0717A">
            <w:pPr>
              <w:spacing w:line="480" w:lineRule="auto"/>
              <w:jc w:val="both"/>
            </w:pPr>
            <w:r>
              <w:t>0.213***</w:t>
            </w:r>
          </w:p>
        </w:tc>
        <w:tc>
          <w:tcPr>
            <w:tcW w:w="2338" w:type="dxa"/>
          </w:tcPr>
          <w:p w14:paraId="34B238C6" w14:textId="77777777" w:rsidR="009F6351" w:rsidRPr="00363550" w:rsidRDefault="009F6351" w:rsidP="00F0717A">
            <w:pPr>
              <w:spacing w:line="480" w:lineRule="auto"/>
              <w:jc w:val="both"/>
            </w:pPr>
            <w:r>
              <w:t>0.098***</w:t>
            </w:r>
          </w:p>
        </w:tc>
        <w:tc>
          <w:tcPr>
            <w:tcW w:w="2338" w:type="dxa"/>
          </w:tcPr>
          <w:p w14:paraId="3438DDD8" w14:textId="77777777" w:rsidR="009F6351" w:rsidRPr="00363550" w:rsidRDefault="009F6351" w:rsidP="00F0717A">
            <w:pPr>
              <w:spacing w:line="480" w:lineRule="auto"/>
              <w:jc w:val="both"/>
            </w:pPr>
            <w:r>
              <w:t>0.073***</w:t>
            </w:r>
          </w:p>
        </w:tc>
      </w:tr>
      <w:tr w:rsidR="009F6351" w:rsidRPr="00363550" w14:paraId="27FE80A4" w14:textId="77777777" w:rsidTr="00874E20">
        <w:tc>
          <w:tcPr>
            <w:tcW w:w="2337" w:type="dxa"/>
          </w:tcPr>
          <w:p w14:paraId="0F768772" w14:textId="0B087990" w:rsidR="009F6351" w:rsidRPr="00363550" w:rsidRDefault="0076457A" w:rsidP="00F0717A">
            <w:pPr>
              <w:spacing w:line="480" w:lineRule="auto"/>
              <w:jc w:val="both"/>
            </w:pPr>
            <w:r>
              <w:t xml:space="preserve">Primera generación </w:t>
            </w:r>
            <w:r w:rsidR="009F6351">
              <w:t xml:space="preserve"> </w:t>
            </w:r>
          </w:p>
        </w:tc>
        <w:tc>
          <w:tcPr>
            <w:tcW w:w="2337" w:type="dxa"/>
          </w:tcPr>
          <w:p w14:paraId="5136C8A6" w14:textId="77777777" w:rsidR="009F6351" w:rsidRPr="00363550" w:rsidRDefault="009F6351" w:rsidP="00F0717A">
            <w:pPr>
              <w:spacing w:line="480" w:lineRule="auto"/>
              <w:jc w:val="both"/>
            </w:pPr>
          </w:p>
        </w:tc>
        <w:tc>
          <w:tcPr>
            <w:tcW w:w="2338" w:type="dxa"/>
          </w:tcPr>
          <w:p w14:paraId="3DBC76E6" w14:textId="77777777" w:rsidR="009F6351" w:rsidRPr="00363550" w:rsidRDefault="009F6351" w:rsidP="00F0717A">
            <w:pPr>
              <w:spacing w:line="480" w:lineRule="auto"/>
              <w:jc w:val="both"/>
            </w:pPr>
            <w:r>
              <w:t>1.830*</w:t>
            </w:r>
          </w:p>
        </w:tc>
        <w:tc>
          <w:tcPr>
            <w:tcW w:w="2338" w:type="dxa"/>
          </w:tcPr>
          <w:p w14:paraId="022A334B" w14:textId="77777777" w:rsidR="009F6351" w:rsidRPr="00363550" w:rsidRDefault="009F6351" w:rsidP="00F0717A">
            <w:pPr>
              <w:spacing w:line="480" w:lineRule="auto"/>
              <w:jc w:val="both"/>
            </w:pPr>
            <w:r>
              <w:t>1.937*</w:t>
            </w:r>
          </w:p>
        </w:tc>
      </w:tr>
      <w:tr w:rsidR="009F6351" w:rsidRPr="00363550" w14:paraId="38A7EF64" w14:textId="77777777" w:rsidTr="00874E20">
        <w:tc>
          <w:tcPr>
            <w:tcW w:w="2337" w:type="dxa"/>
          </w:tcPr>
          <w:p w14:paraId="6999D67D" w14:textId="4027F51A" w:rsidR="009F6351" w:rsidRPr="00363550" w:rsidRDefault="0076457A" w:rsidP="00F0717A">
            <w:pPr>
              <w:spacing w:line="480" w:lineRule="auto"/>
              <w:jc w:val="both"/>
            </w:pPr>
            <w:r>
              <w:t>Segunda generación</w:t>
            </w:r>
            <w:r w:rsidR="009F6351">
              <w:t xml:space="preserve"> </w:t>
            </w:r>
          </w:p>
        </w:tc>
        <w:tc>
          <w:tcPr>
            <w:tcW w:w="2337" w:type="dxa"/>
          </w:tcPr>
          <w:p w14:paraId="4DC6721E" w14:textId="77777777" w:rsidR="009F6351" w:rsidRPr="00363550" w:rsidRDefault="009F6351" w:rsidP="00F0717A">
            <w:pPr>
              <w:spacing w:line="480" w:lineRule="auto"/>
              <w:jc w:val="both"/>
            </w:pPr>
          </w:p>
        </w:tc>
        <w:tc>
          <w:tcPr>
            <w:tcW w:w="2338" w:type="dxa"/>
          </w:tcPr>
          <w:p w14:paraId="5114DAA4" w14:textId="77777777" w:rsidR="009F6351" w:rsidRPr="00363550" w:rsidRDefault="009F6351" w:rsidP="00F0717A">
            <w:pPr>
              <w:spacing w:line="480" w:lineRule="auto"/>
              <w:jc w:val="both"/>
            </w:pPr>
            <w:r>
              <w:t>1.860*</w:t>
            </w:r>
          </w:p>
        </w:tc>
        <w:tc>
          <w:tcPr>
            <w:tcW w:w="2338" w:type="dxa"/>
          </w:tcPr>
          <w:p w14:paraId="28149514" w14:textId="77777777" w:rsidR="009F6351" w:rsidRPr="00363550" w:rsidRDefault="009F6351" w:rsidP="00F0717A">
            <w:pPr>
              <w:spacing w:line="480" w:lineRule="auto"/>
              <w:jc w:val="both"/>
            </w:pPr>
            <w:r>
              <w:t>1.890*</w:t>
            </w:r>
          </w:p>
        </w:tc>
      </w:tr>
      <w:tr w:rsidR="009F6351" w:rsidRPr="00363550" w14:paraId="14C4F462" w14:textId="77777777" w:rsidTr="00874E20">
        <w:tc>
          <w:tcPr>
            <w:tcW w:w="2337" w:type="dxa"/>
          </w:tcPr>
          <w:p w14:paraId="1D97A1FA" w14:textId="2538887D" w:rsidR="009F6351" w:rsidRPr="00363550" w:rsidRDefault="008F7882" w:rsidP="00F0717A">
            <w:pPr>
              <w:spacing w:line="480" w:lineRule="auto"/>
              <w:jc w:val="both"/>
            </w:pPr>
            <w:r>
              <w:t>Latino-a</w:t>
            </w:r>
            <w:r w:rsidR="009F6351">
              <w:t xml:space="preserve"> </w:t>
            </w:r>
          </w:p>
        </w:tc>
        <w:tc>
          <w:tcPr>
            <w:tcW w:w="2337" w:type="dxa"/>
          </w:tcPr>
          <w:p w14:paraId="5D2DB4B5" w14:textId="77777777" w:rsidR="009F6351" w:rsidRPr="00363550" w:rsidRDefault="009F6351" w:rsidP="00F0717A">
            <w:pPr>
              <w:spacing w:line="480" w:lineRule="auto"/>
              <w:jc w:val="both"/>
            </w:pPr>
          </w:p>
        </w:tc>
        <w:tc>
          <w:tcPr>
            <w:tcW w:w="2338" w:type="dxa"/>
          </w:tcPr>
          <w:p w14:paraId="3D7A6922" w14:textId="77777777" w:rsidR="009F6351" w:rsidRPr="00363550" w:rsidRDefault="009F6351" w:rsidP="00F0717A">
            <w:pPr>
              <w:spacing w:line="480" w:lineRule="auto"/>
              <w:jc w:val="both"/>
            </w:pPr>
            <w:r>
              <w:t>1.329</w:t>
            </w:r>
          </w:p>
        </w:tc>
        <w:tc>
          <w:tcPr>
            <w:tcW w:w="2338" w:type="dxa"/>
          </w:tcPr>
          <w:p w14:paraId="1C200DFA" w14:textId="77777777" w:rsidR="009F6351" w:rsidRPr="00363550" w:rsidRDefault="009F6351" w:rsidP="00F0717A">
            <w:pPr>
              <w:spacing w:line="480" w:lineRule="auto"/>
              <w:jc w:val="both"/>
            </w:pPr>
            <w:r>
              <w:t>1.346</w:t>
            </w:r>
          </w:p>
        </w:tc>
      </w:tr>
      <w:tr w:rsidR="009F6351" w:rsidRPr="00363550" w14:paraId="7349C908" w14:textId="77777777" w:rsidTr="00874E20">
        <w:tc>
          <w:tcPr>
            <w:tcW w:w="2337" w:type="dxa"/>
          </w:tcPr>
          <w:p w14:paraId="62E00ECB" w14:textId="6816C6AF" w:rsidR="009F6351" w:rsidRPr="00363550" w:rsidRDefault="008F7882" w:rsidP="00F0717A">
            <w:pPr>
              <w:spacing w:line="480" w:lineRule="auto"/>
              <w:jc w:val="both"/>
            </w:pPr>
            <w:r>
              <w:t>Hombre</w:t>
            </w:r>
          </w:p>
        </w:tc>
        <w:tc>
          <w:tcPr>
            <w:tcW w:w="2337" w:type="dxa"/>
          </w:tcPr>
          <w:p w14:paraId="48A46E9E" w14:textId="77777777" w:rsidR="009F6351" w:rsidRPr="00363550" w:rsidRDefault="009F6351" w:rsidP="00F0717A">
            <w:pPr>
              <w:spacing w:line="480" w:lineRule="auto"/>
              <w:jc w:val="both"/>
            </w:pPr>
          </w:p>
        </w:tc>
        <w:tc>
          <w:tcPr>
            <w:tcW w:w="2338" w:type="dxa"/>
          </w:tcPr>
          <w:p w14:paraId="67347A50" w14:textId="77777777" w:rsidR="009F6351" w:rsidRPr="00363550" w:rsidRDefault="009F6351" w:rsidP="00F0717A">
            <w:pPr>
              <w:spacing w:line="480" w:lineRule="auto"/>
              <w:jc w:val="both"/>
            </w:pPr>
            <w:r>
              <w:t>1.311</w:t>
            </w:r>
          </w:p>
        </w:tc>
        <w:tc>
          <w:tcPr>
            <w:tcW w:w="2338" w:type="dxa"/>
          </w:tcPr>
          <w:p w14:paraId="634543E0" w14:textId="77777777" w:rsidR="009F6351" w:rsidRPr="00363550" w:rsidRDefault="009F6351" w:rsidP="00F0717A">
            <w:pPr>
              <w:spacing w:line="480" w:lineRule="auto"/>
              <w:jc w:val="both"/>
            </w:pPr>
            <w:r>
              <w:t>1.302</w:t>
            </w:r>
          </w:p>
        </w:tc>
      </w:tr>
      <w:tr w:rsidR="009F6351" w:rsidRPr="00363550" w14:paraId="6996885F" w14:textId="77777777" w:rsidTr="00874E20">
        <w:tc>
          <w:tcPr>
            <w:tcW w:w="2337" w:type="dxa"/>
          </w:tcPr>
          <w:p w14:paraId="70B21DE2" w14:textId="30B91E27" w:rsidR="009F6351" w:rsidRPr="00363550" w:rsidRDefault="0076457A" w:rsidP="00F0717A">
            <w:pPr>
              <w:spacing w:line="480" w:lineRule="auto"/>
              <w:jc w:val="both"/>
            </w:pPr>
            <w:r>
              <w:t>Edad</w:t>
            </w:r>
          </w:p>
        </w:tc>
        <w:tc>
          <w:tcPr>
            <w:tcW w:w="2337" w:type="dxa"/>
          </w:tcPr>
          <w:p w14:paraId="7C31492E" w14:textId="77777777" w:rsidR="009F6351" w:rsidRPr="00363550" w:rsidRDefault="009F6351" w:rsidP="00F0717A">
            <w:pPr>
              <w:spacing w:line="480" w:lineRule="auto"/>
              <w:jc w:val="both"/>
            </w:pPr>
          </w:p>
        </w:tc>
        <w:tc>
          <w:tcPr>
            <w:tcW w:w="2338" w:type="dxa"/>
          </w:tcPr>
          <w:p w14:paraId="09D16113" w14:textId="77777777" w:rsidR="009F6351" w:rsidRPr="00363550" w:rsidRDefault="009F6351" w:rsidP="00F0717A">
            <w:pPr>
              <w:spacing w:line="480" w:lineRule="auto"/>
              <w:jc w:val="both"/>
            </w:pPr>
            <w:r>
              <w:t>0.975**</w:t>
            </w:r>
          </w:p>
        </w:tc>
        <w:tc>
          <w:tcPr>
            <w:tcW w:w="2338" w:type="dxa"/>
          </w:tcPr>
          <w:p w14:paraId="4085D704" w14:textId="77777777" w:rsidR="009F6351" w:rsidRPr="00363550" w:rsidRDefault="009F6351" w:rsidP="00F0717A">
            <w:pPr>
              <w:spacing w:line="480" w:lineRule="auto"/>
              <w:jc w:val="both"/>
            </w:pPr>
            <w:r>
              <w:t>0.974***</w:t>
            </w:r>
          </w:p>
        </w:tc>
      </w:tr>
      <w:tr w:rsidR="009F6351" w:rsidRPr="00363550" w14:paraId="18AAFEB4" w14:textId="77777777" w:rsidTr="00874E20">
        <w:tc>
          <w:tcPr>
            <w:tcW w:w="2337" w:type="dxa"/>
          </w:tcPr>
          <w:p w14:paraId="4EFA8F22" w14:textId="02E55761" w:rsidR="009F6351" w:rsidRPr="00363550" w:rsidRDefault="0076457A" w:rsidP="00F0717A">
            <w:pPr>
              <w:spacing w:line="480" w:lineRule="auto"/>
              <w:jc w:val="both"/>
              <w:rPr>
                <w:b/>
              </w:rPr>
            </w:pPr>
            <w:r>
              <w:rPr>
                <w:b/>
              </w:rPr>
              <w:t>Nivel-2</w:t>
            </w:r>
          </w:p>
        </w:tc>
        <w:tc>
          <w:tcPr>
            <w:tcW w:w="2337" w:type="dxa"/>
          </w:tcPr>
          <w:p w14:paraId="7D51F765" w14:textId="77777777" w:rsidR="009F6351" w:rsidRPr="00363550" w:rsidRDefault="009F6351" w:rsidP="00F0717A">
            <w:pPr>
              <w:spacing w:line="480" w:lineRule="auto"/>
              <w:jc w:val="both"/>
            </w:pPr>
          </w:p>
        </w:tc>
        <w:tc>
          <w:tcPr>
            <w:tcW w:w="2338" w:type="dxa"/>
          </w:tcPr>
          <w:p w14:paraId="4C8CDB0C" w14:textId="77777777" w:rsidR="009F6351" w:rsidRPr="00363550" w:rsidRDefault="009F6351" w:rsidP="00F0717A">
            <w:pPr>
              <w:spacing w:line="480" w:lineRule="auto"/>
              <w:jc w:val="both"/>
            </w:pPr>
          </w:p>
        </w:tc>
        <w:tc>
          <w:tcPr>
            <w:tcW w:w="2338" w:type="dxa"/>
          </w:tcPr>
          <w:p w14:paraId="52BC30DA" w14:textId="77777777" w:rsidR="009F6351" w:rsidRPr="00363550" w:rsidRDefault="009F6351" w:rsidP="00F0717A">
            <w:pPr>
              <w:spacing w:line="480" w:lineRule="auto"/>
              <w:jc w:val="both"/>
            </w:pPr>
          </w:p>
        </w:tc>
      </w:tr>
      <w:tr w:rsidR="009F6351" w:rsidRPr="00363550" w14:paraId="6CC8D4FE" w14:textId="77777777" w:rsidTr="00874E20">
        <w:tc>
          <w:tcPr>
            <w:tcW w:w="2337" w:type="dxa"/>
          </w:tcPr>
          <w:p w14:paraId="72F9FB41" w14:textId="0171DFF1" w:rsidR="009F6351" w:rsidRDefault="009F6351" w:rsidP="00F0717A">
            <w:pPr>
              <w:spacing w:line="480" w:lineRule="auto"/>
              <w:jc w:val="both"/>
            </w:pPr>
            <w:r>
              <w:t>% Po</w:t>
            </w:r>
            <w:r w:rsidR="0076457A">
              <w:t>breza</w:t>
            </w:r>
          </w:p>
        </w:tc>
        <w:tc>
          <w:tcPr>
            <w:tcW w:w="2337" w:type="dxa"/>
          </w:tcPr>
          <w:p w14:paraId="7B28F1D5" w14:textId="77777777" w:rsidR="009F6351" w:rsidRPr="00363550" w:rsidRDefault="009F6351" w:rsidP="00F0717A">
            <w:pPr>
              <w:spacing w:line="480" w:lineRule="auto"/>
              <w:jc w:val="both"/>
            </w:pPr>
          </w:p>
        </w:tc>
        <w:tc>
          <w:tcPr>
            <w:tcW w:w="2338" w:type="dxa"/>
          </w:tcPr>
          <w:p w14:paraId="6CD27715" w14:textId="77777777" w:rsidR="009F6351" w:rsidRPr="00363550" w:rsidRDefault="009F6351" w:rsidP="00F0717A">
            <w:pPr>
              <w:spacing w:line="480" w:lineRule="auto"/>
              <w:jc w:val="both"/>
            </w:pPr>
          </w:p>
        </w:tc>
        <w:tc>
          <w:tcPr>
            <w:tcW w:w="2338" w:type="dxa"/>
          </w:tcPr>
          <w:p w14:paraId="612F4076" w14:textId="77777777" w:rsidR="009F6351" w:rsidRPr="00363550" w:rsidRDefault="009F6351" w:rsidP="00F0717A">
            <w:pPr>
              <w:spacing w:line="480" w:lineRule="auto"/>
              <w:jc w:val="both"/>
            </w:pPr>
            <w:r>
              <w:t>1.028*</w:t>
            </w:r>
          </w:p>
        </w:tc>
      </w:tr>
      <w:tr w:rsidR="009F6351" w:rsidRPr="00363550" w14:paraId="3D0A9786" w14:textId="77777777" w:rsidTr="00874E20">
        <w:tc>
          <w:tcPr>
            <w:tcW w:w="2337" w:type="dxa"/>
          </w:tcPr>
          <w:p w14:paraId="6FA00437" w14:textId="69046446" w:rsidR="009F6351" w:rsidRDefault="008F7882" w:rsidP="00F0717A">
            <w:pPr>
              <w:spacing w:line="480" w:lineRule="auto"/>
              <w:jc w:val="both"/>
            </w:pPr>
            <w:r>
              <w:t xml:space="preserve">Enclave </w:t>
            </w:r>
            <w:r w:rsidR="0076457A">
              <w:t>nivel bajo</w:t>
            </w:r>
          </w:p>
        </w:tc>
        <w:tc>
          <w:tcPr>
            <w:tcW w:w="2337" w:type="dxa"/>
          </w:tcPr>
          <w:p w14:paraId="68CE9A34" w14:textId="77777777" w:rsidR="009F6351" w:rsidRPr="00363550" w:rsidRDefault="009F6351" w:rsidP="00F0717A">
            <w:pPr>
              <w:spacing w:line="480" w:lineRule="auto"/>
              <w:jc w:val="both"/>
            </w:pPr>
          </w:p>
        </w:tc>
        <w:tc>
          <w:tcPr>
            <w:tcW w:w="2338" w:type="dxa"/>
          </w:tcPr>
          <w:p w14:paraId="58FEB034" w14:textId="77777777" w:rsidR="009F6351" w:rsidRPr="00363550" w:rsidRDefault="009F6351" w:rsidP="00F0717A">
            <w:pPr>
              <w:spacing w:line="480" w:lineRule="auto"/>
              <w:jc w:val="both"/>
            </w:pPr>
          </w:p>
        </w:tc>
        <w:tc>
          <w:tcPr>
            <w:tcW w:w="2338" w:type="dxa"/>
          </w:tcPr>
          <w:p w14:paraId="3DBAA9A3" w14:textId="77777777" w:rsidR="009F6351" w:rsidRPr="00363550" w:rsidRDefault="009F6351" w:rsidP="00F0717A">
            <w:pPr>
              <w:spacing w:line="480" w:lineRule="auto"/>
              <w:jc w:val="both"/>
            </w:pPr>
            <w:r>
              <w:t>1.301</w:t>
            </w:r>
          </w:p>
        </w:tc>
      </w:tr>
      <w:tr w:rsidR="009F6351" w:rsidRPr="00363550" w14:paraId="38A7E99A" w14:textId="77777777" w:rsidTr="00874E20">
        <w:tc>
          <w:tcPr>
            <w:tcW w:w="2337" w:type="dxa"/>
          </w:tcPr>
          <w:p w14:paraId="5A63CA31" w14:textId="2969DB6C" w:rsidR="009F6351" w:rsidRDefault="008F7882" w:rsidP="00F0717A">
            <w:pPr>
              <w:spacing w:line="480" w:lineRule="auto"/>
              <w:jc w:val="both"/>
            </w:pPr>
            <w:r>
              <w:t xml:space="preserve">Enclave </w:t>
            </w:r>
            <w:r w:rsidR="0076457A">
              <w:t>nivel alto</w:t>
            </w:r>
            <w:r w:rsidR="009F6351">
              <w:t xml:space="preserve"> </w:t>
            </w:r>
          </w:p>
        </w:tc>
        <w:tc>
          <w:tcPr>
            <w:tcW w:w="2337" w:type="dxa"/>
          </w:tcPr>
          <w:p w14:paraId="4150A3D3" w14:textId="77777777" w:rsidR="009F6351" w:rsidRPr="00363550" w:rsidRDefault="009F6351" w:rsidP="00F0717A">
            <w:pPr>
              <w:spacing w:line="480" w:lineRule="auto"/>
              <w:jc w:val="both"/>
            </w:pPr>
          </w:p>
        </w:tc>
        <w:tc>
          <w:tcPr>
            <w:tcW w:w="2338" w:type="dxa"/>
          </w:tcPr>
          <w:p w14:paraId="4DA9B051" w14:textId="77777777" w:rsidR="009F6351" w:rsidRPr="00363550" w:rsidRDefault="009F6351" w:rsidP="00F0717A">
            <w:pPr>
              <w:spacing w:line="480" w:lineRule="auto"/>
              <w:jc w:val="both"/>
            </w:pPr>
          </w:p>
        </w:tc>
        <w:tc>
          <w:tcPr>
            <w:tcW w:w="2338" w:type="dxa"/>
          </w:tcPr>
          <w:p w14:paraId="01DDE507" w14:textId="77777777" w:rsidR="009F6351" w:rsidRPr="00363550" w:rsidRDefault="009F6351" w:rsidP="00F0717A">
            <w:pPr>
              <w:spacing w:line="480" w:lineRule="auto"/>
              <w:jc w:val="both"/>
            </w:pPr>
            <w:r>
              <w:t>1.648*</w:t>
            </w:r>
          </w:p>
        </w:tc>
      </w:tr>
    </w:tbl>
    <w:p w14:paraId="5D2A7211" w14:textId="2B486A59" w:rsidR="009F6351" w:rsidRDefault="009F6351" w:rsidP="00F0717A">
      <w:pPr>
        <w:spacing w:line="480" w:lineRule="auto"/>
        <w:ind w:firstLine="720"/>
        <w:jc w:val="both"/>
      </w:pPr>
    </w:p>
    <w:p w14:paraId="2091C20E" w14:textId="4476133D" w:rsidR="001601D1" w:rsidRPr="00420A77" w:rsidRDefault="00805F7F" w:rsidP="00F0717A">
      <w:pPr>
        <w:spacing w:line="480" w:lineRule="auto"/>
        <w:ind w:firstLine="720"/>
        <w:jc w:val="both"/>
        <w:rPr>
          <w:lang w:val="es-MX"/>
        </w:rPr>
      </w:pPr>
      <w:r w:rsidRPr="001601D1">
        <w:rPr>
          <w:lang w:val="es-MX"/>
        </w:rPr>
        <w:t xml:space="preserve"> </w:t>
      </w:r>
      <w:r w:rsidR="0076457A">
        <w:rPr>
          <w:lang w:val="es-MX"/>
        </w:rPr>
        <w:t>El m</w:t>
      </w:r>
      <w:r w:rsidR="004776E2" w:rsidRPr="001E6FA9">
        <w:rPr>
          <w:lang w:val="es-MX"/>
        </w:rPr>
        <w:t xml:space="preserve">odelo 2 </w:t>
      </w:r>
      <w:r w:rsidR="0076457A">
        <w:rPr>
          <w:lang w:val="es-MX"/>
        </w:rPr>
        <w:t>introduce</w:t>
      </w:r>
      <w:r w:rsidR="001E6FA9" w:rsidRPr="001E6FA9">
        <w:rPr>
          <w:lang w:val="es-MX"/>
        </w:rPr>
        <w:t xml:space="preserve"> variables</w:t>
      </w:r>
      <w:r w:rsidR="0076457A">
        <w:rPr>
          <w:lang w:val="es-MX"/>
        </w:rPr>
        <w:t xml:space="preserve"> de nivel individual</w:t>
      </w:r>
      <w:r w:rsidR="001E6FA9" w:rsidRPr="001E6FA9">
        <w:rPr>
          <w:lang w:val="es-MX"/>
        </w:rPr>
        <w:t xml:space="preserve"> </w:t>
      </w:r>
      <w:r w:rsidR="0076457A">
        <w:rPr>
          <w:lang w:val="es-MX"/>
        </w:rPr>
        <w:t>que predicen</w:t>
      </w:r>
      <w:r w:rsidR="001E6FA9" w:rsidRPr="001E6FA9">
        <w:rPr>
          <w:lang w:val="es-MX"/>
        </w:rPr>
        <w:t xml:space="preserve"> </w:t>
      </w:r>
      <w:r w:rsidR="001E6FA9">
        <w:rPr>
          <w:lang w:val="es-MX"/>
        </w:rPr>
        <w:t>a quien cuestionan su estatus de ciudadanía</w:t>
      </w:r>
      <w:r w:rsidR="007F6FD7">
        <w:rPr>
          <w:lang w:val="es-MX"/>
        </w:rPr>
        <w:t xml:space="preserve"> </w:t>
      </w:r>
      <w:r w:rsidR="001E6FA9">
        <w:rPr>
          <w:lang w:val="es-MX"/>
        </w:rPr>
        <w:t>y</w:t>
      </w:r>
      <w:r w:rsidR="0076457A">
        <w:rPr>
          <w:lang w:val="es-MX"/>
        </w:rPr>
        <w:t xml:space="preserve"> permite que las </w:t>
      </w:r>
      <w:r w:rsidR="00C5387B">
        <w:rPr>
          <w:lang w:val="es-MX"/>
        </w:rPr>
        <w:t>intercepciones y  pendientes varíe</w:t>
      </w:r>
      <w:r w:rsidR="0075072B">
        <w:rPr>
          <w:lang w:val="es-MX"/>
        </w:rPr>
        <w:t>n en el nivel-2. L</w:t>
      </w:r>
      <w:r w:rsidR="00C5387B">
        <w:rPr>
          <w:lang w:val="es-MX"/>
        </w:rPr>
        <w:t xml:space="preserve">os resultados </w:t>
      </w:r>
      <w:r w:rsidR="0075072B">
        <w:rPr>
          <w:lang w:val="es-MX"/>
        </w:rPr>
        <w:t>muestran que las diferencias</w:t>
      </w:r>
      <w:r w:rsidR="00C5387B">
        <w:rPr>
          <w:lang w:val="es-MX"/>
        </w:rPr>
        <w:t xml:space="preserve"> de los</w:t>
      </w:r>
      <w:r w:rsidR="0075072B">
        <w:rPr>
          <w:lang w:val="es-MX"/>
        </w:rPr>
        <w:t xml:space="preserve"> vecindarios</w:t>
      </w:r>
      <w:r w:rsidR="00C5387B">
        <w:rPr>
          <w:lang w:val="es-MX"/>
        </w:rPr>
        <w:t xml:space="preserve"> observados</w:t>
      </w:r>
      <w:r w:rsidR="0075072B">
        <w:rPr>
          <w:lang w:val="es-MX"/>
        </w:rPr>
        <w:t xml:space="preserve"> en el Modelo 1 permanecen estadísticamente </w:t>
      </w:r>
      <w:r w:rsidR="00C5387B">
        <w:rPr>
          <w:lang w:val="es-MX"/>
        </w:rPr>
        <w:t>importantes</w:t>
      </w:r>
      <w:r w:rsidR="00266919">
        <w:rPr>
          <w:lang w:val="es-MX"/>
        </w:rPr>
        <w:t xml:space="preserve"> después de co</w:t>
      </w:r>
      <w:r w:rsidR="00C5387B">
        <w:rPr>
          <w:lang w:val="es-MX"/>
        </w:rPr>
        <w:t>nsiderar</w:t>
      </w:r>
      <w:r w:rsidR="00266919">
        <w:rPr>
          <w:lang w:val="es-MX"/>
        </w:rPr>
        <w:t xml:space="preserve"> los atributos ind</w:t>
      </w:r>
      <w:r w:rsidR="00C5387B">
        <w:rPr>
          <w:lang w:val="es-MX"/>
        </w:rPr>
        <w:t xml:space="preserve">ividuales. Como se esperaba, ser de la primera o de la </w:t>
      </w:r>
      <w:r w:rsidR="00266919">
        <w:rPr>
          <w:lang w:val="es-MX"/>
        </w:rPr>
        <w:t xml:space="preserve">segunda generación tiene un efecto positivo y estadísticamente </w:t>
      </w:r>
      <w:r w:rsidR="00C5387B">
        <w:rPr>
          <w:lang w:val="es-MX"/>
        </w:rPr>
        <w:t>importante</w:t>
      </w:r>
      <w:r w:rsidR="00266919">
        <w:rPr>
          <w:lang w:val="es-MX"/>
        </w:rPr>
        <w:t xml:space="preserve"> en la probabilidad de</w:t>
      </w:r>
      <w:r w:rsidR="00C5387B">
        <w:rPr>
          <w:lang w:val="es-MX"/>
        </w:rPr>
        <w:t xml:space="preserve"> que los agentes policiacos cuestio</w:t>
      </w:r>
      <w:r w:rsidR="002A5E7B">
        <w:rPr>
          <w:lang w:val="es-MX"/>
        </w:rPr>
        <w:t xml:space="preserve">nen el estatus de ciudadanía </w:t>
      </w:r>
      <w:r w:rsidR="002A5E7B" w:rsidRPr="0027034F">
        <w:rPr>
          <w:lang w:val="es-MX"/>
        </w:rPr>
        <w:t>como resultado de la influencia del origen</w:t>
      </w:r>
      <w:r w:rsidR="00266919" w:rsidRPr="0027034F">
        <w:rPr>
          <w:lang w:val="es-MX"/>
        </w:rPr>
        <w:t xml:space="preserve"> </w:t>
      </w:r>
      <w:r w:rsidR="00C5387B" w:rsidRPr="0027034F">
        <w:rPr>
          <w:lang w:val="es-MX"/>
        </w:rPr>
        <w:t>latino,</w:t>
      </w:r>
      <w:r w:rsidR="001601D1" w:rsidRPr="0027034F">
        <w:rPr>
          <w:lang w:val="es-MX"/>
        </w:rPr>
        <w:t xml:space="preserve"> sexo y edad.</w:t>
      </w:r>
      <w:r w:rsidR="00C5387B" w:rsidRPr="0027034F">
        <w:rPr>
          <w:lang w:val="es-MX"/>
        </w:rPr>
        <w:t xml:space="preserve"> Ser </w:t>
      </w:r>
      <w:r w:rsidR="001601D1">
        <w:rPr>
          <w:lang w:val="es-MX"/>
        </w:rPr>
        <w:t>de</w:t>
      </w:r>
      <w:r w:rsidR="00C5387B">
        <w:rPr>
          <w:lang w:val="es-MX"/>
        </w:rPr>
        <w:t xml:space="preserve"> la</w:t>
      </w:r>
      <w:r w:rsidR="001601D1">
        <w:rPr>
          <w:lang w:val="es-MX"/>
        </w:rPr>
        <w:t xml:space="preserve"> primera generación, en contraste con la tercera generación y la siguiente, </w:t>
      </w:r>
      <w:r w:rsidR="00C5387B">
        <w:rPr>
          <w:lang w:val="es-MX"/>
        </w:rPr>
        <w:t>se asocia particular</w:t>
      </w:r>
      <w:r w:rsidR="002F1E2C">
        <w:rPr>
          <w:lang w:val="es-MX"/>
        </w:rPr>
        <w:t>mente</w:t>
      </w:r>
      <w:r w:rsidR="001601D1">
        <w:rPr>
          <w:lang w:val="es-MX"/>
        </w:rPr>
        <w:t xml:space="preserve"> con un incremento </w:t>
      </w:r>
      <w:r w:rsidR="0027034F">
        <w:rPr>
          <w:lang w:val="es-MX"/>
        </w:rPr>
        <w:t>de un 83</w:t>
      </w:r>
      <w:r w:rsidR="002A5E7B">
        <w:rPr>
          <w:lang w:val="es-MX"/>
        </w:rPr>
        <w:t xml:space="preserve">% </w:t>
      </w:r>
      <w:r w:rsidR="001601D1">
        <w:rPr>
          <w:lang w:val="es-MX"/>
        </w:rPr>
        <w:t xml:space="preserve">en la probabilidad de ser cuestionado </w:t>
      </w:r>
      <w:r w:rsidR="00C5387B">
        <w:rPr>
          <w:lang w:val="es-MX"/>
        </w:rPr>
        <w:t>su estatus de ciudadanía. S</w:t>
      </w:r>
      <w:r w:rsidR="001601D1" w:rsidRPr="001601D1">
        <w:rPr>
          <w:lang w:val="es-MX"/>
        </w:rPr>
        <w:t>er de la segunda generación aumenta la p</w:t>
      </w:r>
      <w:r w:rsidR="00C5387B">
        <w:rPr>
          <w:lang w:val="es-MX"/>
        </w:rPr>
        <w:t>robabilidad de ser cuestiona</w:t>
      </w:r>
      <w:r w:rsidR="002A5E7B">
        <w:rPr>
          <w:lang w:val="es-MX"/>
        </w:rPr>
        <w:t>d</w:t>
      </w:r>
      <w:r w:rsidR="005C2312">
        <w:rPr>
          <w:lang w:val="es-MX"/>
        </w:rPr>
        <w:t>a</w:t>
      </w:r>
      <w:r w:rsidR="00C5387B">
        <w:rPr>
          <w:lang w:val="es-MX"/>
        </w:rPr>
        <w:t xml:space="preserve"> su nacionalidad en un 86 %, en contraste con aquellos de la tercera generación y posteriores. </w:t>
      </w:r>
      <w:r w:rsidR="001601D1">
        <w:rPr>
          <w:lang w:val="es-MX"/>
        </w:rPr>
        <w:t xml:space="preserve">Entre los controles demográficos, la edad es lo único que es estadísticamente </w:t>
      </w:r>
      <w:r w:rsidR="00C5387B">
        <w:rPr>
          <w:lang w:val="es-MX"/>
        </w:rPr>
        <w:t>importante</w:t>
      </w:r>
      <w:r w:rsidR="001601D1">
        <w:rPr>
          <w:lang w:val="es-MX"/>
        </w:rPr>
        <w:t xml:space="preserve">. </w:t>
      </w:r>
      <w:r w:rsidR="00C5387B">
        <w:rPr>
          <w:lang w:val="es-MX"/>
        </w:rPr>
        <w:t>De manera específica</w:t>
      </w:r>
      <w:r w:rsidR="002A5E7B">
        <w:rPr>
          <w:lang w:val="es-MX"/>
        </w:rPr>
        <w:t>,</w:t>
      </w:r>
      <w:r w:rsidR="00C5387B">
        <w:rPr>
          <w:lang w:val="es-MX"/>
        </w:rPr>
        <w:t xml:space="preserve"> el incremento de una unidad en </w:t>
      </w:r>
      <w:r w:rsidR="002A5E7B">
        <w:rPr>
          <w:lang w:val="es-MX"/>
        </w:rPr>
        <w:t xml:space="preserve">la </w:t>
      </w:r>
      <w:r w:rsidR="00C5387B">
        <w:rPr>
          <w:lang w:val="es-MX"/>
        </w:rPr>
        <w:t xml:space="preserve">edad se </w:t>
      </w:r>
      <w:r w:rsidR="002A5E7B">
        <w:rPr>
          <w:lang w:val="es-MX"/>
        </w:rPr>
        <w:t>asocia con una disminución del</w:t>
      </w:r>
      <w:r w:rsidR="00C5387B">
        <w:rPr>
          <w:lang w:val="es-MX"/>
        </w:rPr>
        <w:t xml:space="preserve"> 97 % en la probabilidad de ser cuestionado </w:t>
      </w:r>
      <w:r w:rsidR="002A5E7B">
        <w:rPr>
          <w:lang w:val="es-MX"/>
        </w:rPr>
        <w:t xml:space="preserve">sobre </w:t>
      </w:r>
      <w:r w:rsidR="00C5387B">
        <w:rPr>
          <w:lang w:val="es-MX"/>
        </w:rPr>
        <w:t>su estatus de ci</w:t>
      </w:r>
      <w:r w:rsidR="00C5387B" w:rsidRPr="00FB702D">
        <w:rPr>
          <w:lang w:val="es-MX"/>
        </w:rPr>
        <w:t>udadanía</w:t>
      </w:r>
      <w:r w:rsidR="00C5387B" w:rsidRPr="006B34B9">
        <w:rPr>
          <w:lang w:val="es-MX"/>
        </w:rPr>
        <w:t xml:space="preserve">. </w:t>
      </w:r>
      <w:r w:rsidR="001601D1" w:rsidRPr="006B34B9">
        <w:rPr>
          <w:lang w:val="es-MX"/>
        </w:rPr>
        <w:t xml:space="preserve">De nuevo, sospechamos </w:t>
      </w:r>
      <w:r w:rsidR="001601D1">
        <w:rPr>
          <w:lang w:val="es-MX"/>
        </w:rPr>
        <w:t>que</w:t>
      </w:r>
      <w:r w:rsidR="00C5387B">
        <w:rPr>
          <w:lang w:val="es-MX"/>
        </w:rPr>
        <w:t xml:space="preserve"> este hecho puede atribuirse a que El Paso, donde se situó la investigación, es 86% latino.</w:t>
      </w:r>
      <w:r w:rsidR="001601D1">
        <w:rPr>
          <w:lang w:val="es-MX"/>
        </w:rPr>
        <w:t xml:space="preserve"> De este modo, la</w:t>
      </w:r>
      <w:r w:rsidR="00C5387B">
        <w:rPr>
          <w:lang w:val="es-MX"/>
        </w:rPr>
        <w:t xml:space="preserve">s agencias policiacas pueden estar buscando </w:t>
      </w:r>
      <w:r w:rsidR="001601D1">
        <w:rPr>
          <w:lang w:val="es-MX"/>
        </w:rPr>
        <w:t xml:space="preserve">otros identificadores, además de etnicidad, para determinar quién puede ser indocumentado. </w:t>
      </w:r>
    </w:p>
    <w:p w14:paraId="4460FDBF" w14:textId="7D5CE3EB" w:rsidR="008B6BEE" w:rsidRPr="00722B62" w:rsidRDefault="00252C1D" w:rsidP="00F0717A">
      <w:pPr>
        <w:spacing w:line="480" w:lineRule="auto"/>
        <w:ind w:firstLine="720"/>
        <w:jc w:val="both"/>
        <w:rPr>
          <w:lang w:val="es-MX"/>
        </w:rPr>
      </w:pPr>
      <w:r w:rsidRPr="00252C1D">
        <w:rPr>
          <w:lang w:val="es-MX"/>
        </w:rPr>
        <w:t>El modelo 3, el modelo</w:t>
      </w:r>
      <w:r w:rsidR="002A5E7B">
        <w:rPr>
          <w:lang w:val="es-MX"/>
        </w:rPr>
        <w:t xml:space="preserve"> promedio de población con fuertes errores estándar, c</w:t>
      </w:r>
      <w:r w:rsidR="00DB367A">
        <w:rPr>
          <w:lang w:val="es-MX"/>
        </w:rPr>
        <w:t xml:space="preserve">ontiene importante información acerca de los </w:t>
      </w:r>
      <w:r w:rsidR="006B34B9">
        <w:rPr>
          <w:lang w:val="es-MX"/>
        </w:rPr>
        <w:t xml:space="preserve">efectos de los </w:t>
      </w:r>
      <w:r w:rsidR="00DB367A">
        <w:rPr>
          <w:lang w:val="es-MX"/>
        </w:rPr>
        <w:t xml:space="preserve">vecindarios </w:t>
      </w:r>
      <w:r>
        <w:rPr>
          <w:lang w:val="es-MX"/>
        </w:rPr>
        <w:t xml:space="preserve">(tercera columna de la Tabla 2). Los </w:t>
      </w:r>
      <w:r w:rsidR="00DB367A">
        <w:rPr>
          <w:lang w:val="es-MX"/>
        </w:rPr>
        <w:t xml:space="preserve">indicadores de pobreza y enclavismo a nivel vecindario </w:t>
      </w:r>
      <w:r w:rsidR="00E9174F">
        <w:rPr>
          <w:lang w:val="es-MX"/>
        </w:rPr>
        <w:t xml:space="preserve">aumentan </w:t>
      </w:r>
      <w:r w:rsidR="00DB367A">
        <w:rPr>
          <w:lang w:val="es-MX"/>
        </w:rPr>
        <w:t xml:space="preserve">nuestra comprensión </w:t>
      </w:r>
      <w:r w:rsidR="00E9174F">
        <w:rPr>
          <w:lang w:val="es-MX"/>
        </w:rPr>
        <w:t xml:space="preserve">sobre </w:t>
      </w:r>
      <w:r w:rsidR="00DB367A">
        <w:rPr>
          <w:lang w:val="es-MX"/>
        </w:rPr>
        <w:t xml:space="preserve">a </w:t>
      </w:r>
      <w:r w:rsidR="00E9174F">
        <w:rPr>
          <w:lang w:val="es-MX"/>
        </w:rPr>
        <w:t>quién</w:t>
      </w:r>
      <w:r w:rsidR="00DB367A">
        <w:rPr>
          <w:lang w:val="es-MX"/>
        </w:rPr>
        <w:t xml:space="preserve"> se le cuestiona su estatus de ciudadanía. Vivir en un vecindario que </w:t>
      </w:r>
      <w:r w:rsidR="00E9174F">
        <w:rPr>
          <w:lang w:val="es-MX"/>
        </w:rPr>
        <w:t xml:space="preserve">en términos de </w:t>
      </w:r>
      <w:r w:rsidR="006B6312">
        <w:rPr>
          <w:lang w:val="es-MX"/>
        </w:rPr>
        <w:t>enclavismo</w:t>
      </w:r>
      <w:r w:rsidR="00E9174F">
        <w:rPr>
          <w:lang w:val="es-MX"/>
        </w:rPr>
        <w:t xml:space="preserve"> sea</w:t>
      </w:r>
      <w:r w:rsidR="006B34B9">
        <w:rPr>
          <w:lang w:val="es-MX"/>
        </w:rPr>
        <w:t xml:space="preserve"> considerado de </w:t>
      </w:r>
      <w:r w:rsidR="005C2312">
        <w:rPr>
          <w:lang w:val="es-MX"/>
        </w:rPr>
        <w:t>rango medio (P</w:t>
      </w:r>
      <w:r w:rsidR="00DB367A">
        <w:rPr>
          <w:lang w:val="es-MX"/>
        </w:rPr>
        <w:t>or ejemplo</w:t>
      </w:r>
      <w:r w:rsidR="005C2312">
        <w:rPr>
          <w:lang w:val="es-MX"/>
        </w:rPr>
        <w:t xml:space="preserve">, </w:t>
      </w:r>
      <w:r w:rsidR="00DB367A">
        <w:rPr>
          <w:lang w:val="es-MX"/>
        </w:rPr>
        <w:t>aculturación a México,</w:t>
      </w:r>
      <w:r>
        <w:rPr>
          <w:lang w:val="es-MX"/>
        </w:rPr>
        <w:t xml:space="preserve"> porcentaje de </w:t>
      </w:r>
      <w:r w:rsidR="00DB367A">
        <w:rPr>
          <w:lang w:val="es-MX"/>
        </w:rPr>
        <w:lastRenderedPageBreak/>
        <w:t xml:space="preserve">nacidos en el extranjero, </w:t>
      </w:r>
      <w:r>
        <w:rPr>
          <w:lang w:val="es-MX"/>
        </w:rPr>
        <w:t xml:space="preserve">porcentaje de </w:t>
      </w:r>
      <w:r w:rsidR="00DB367A">
        <w:rPr>
          <w:lang w:val="es-MX"/>
        </w:rPr>
        <w:t>nacidos en el extranjero</w:t>
      </w:r>
      <w:r>
        <w:rPr>
          <w:lang w:val="es-MX"/>
        </w:rPr>
        <w:t xml:space="preserve"> que no est</w:t>
      </w:r>
      <w:r w:rsidR="005C2312">
        <w:rPr>
          <w:lang w:val="es-MX"/>
        </w:rPr>
        <w:t>á</w:t>
      </w:r>
      <w:r>
        <w:rPr>
          <w:lang w:val="es-MX"/>
        </w:rPr>
        <w:t xml:space="preserve">n naturalizados, </w:t>
      </w:r>
      <w:r w:rsidR="00DB367A">
        <w:rPr>
          <w:lang w:val="es-MX"/>
        </w:rPr>
        <w:t>trasnacionales,</w:t>
      </w:r>
      <w:r>
        <w:rPr>
          <w:lang w:val="es-MX"/>
        </w:rPr>
        <w:t xml:space="preserve"> porcentaje</w:t>
      </w:r>
      <w:r w:rsidR="00E9174F">
        <w:rPr>
          <w:lang w:val="es-MX"/>
        </w:rPr>
        <w:t xml:space="preserve"> del e</w:t>
      </w:r>
      <w:r w:rsidR="00DB367A">
        <w:rPr>
          <w:lang w:val="es-MX"/>
        </w:rPr>
        <w:t xml:space="preserve">spañol </w:t>
      </w:r>
      <w:r w:rsidR="006B34B9">
        <w:rPr>
          <w:lang w:val="es-MX"/>
        </w:rPr>
        <w:t xml:space="preserve">monolingüe </w:t>
      </w:r>
      <w:r w:rsidR="00DB367A">
        <w:rPr>
          <w:lang w:val="es-MX"/>
        </w:rPr>
        <w:t xml:space="preserve">en casa y el </w:t>
      </w:r>
      <w:r>
        <w:rPr>
          <w:lang w:val="es-MX"/>
        </w:rPr>
        <w:t xml:space="preserve">porcentaje de origen-mexicano), </w:t>
      </w:r>
      <w:r w:rsidR="00DB367A">
        <w:rPr>
          <w:lang w:val="es-MX"/>
        </w:rPr>
        <w:t>contrario</w:t>
      </w:r>
      <w:r>
        <w:rPr>
          <w:lang w:val="es-MX"/>
        </w:rPr>
        <w:t xml:space="preserve"> a los </w:t>
      </w:r>
      <w:r w:rsidR="00DB367A">
        <w:rPr>
          <w:lang w:val="es-MX"/>
        </w:rPr>
        <w:t xml:space="preserve">grandes niveles de </w:t>
      </w:r>
      <w:r w:rsidR="006B6312">
        <w:rPr>
          <w:lang w:val="es-MX"/>
        </w:rPr>
        <w:t>enclavismo</w:t>
      </w:r>
      <w:r w:rsidR="005C2312">
        <w:rPr>
          <w:lang w:val="es-MX"/>
        </w:rPr>
        <w:t xml:space="preserve">, influye en un 52% de </w:t>
      </w:r>
      <w:r>
        <w:rPr>
          <w:lang w:val="es-MX"/>
        </w:rPr>
        <w:t>probabilid</w:t>
      </w:r>
      <w:r w:rsidR="00DB367A">
        <w:rPr>
          <w:lang w:val="es-MX"/>
        </w:rPr>
        <w:t>ad</w:t>
      </w:r>
      <w:r w:rsidR="005C2312">
        <w:rPr>
          <w:lang w:val="es-MX"/>
        </w:rPr>
        <w:t>es</w:t>
      </w:r>
      <w:r w:rsidR="00DB367A">
        <w:rPr>
          <w:lang w:val="es-MX"/>
        </w:rPr>
        <w:t xml:space="preserve"> de ser cuestionado </w:t>
      </w:r>
      <w:r w:rsidR="00E9174F">
        <w:rPr>
          <w:lang w:val="es-MX"/>
        </w:rPr>
        <w:t xml:space="preserve">sobre </w:t>
      </w:r>
      <w:r w:rsidR="00DB367A">
        <w:rPr>
          <w:lang w:val="es-MX"/>
        </w:rPr>
        <w:t xml:space="preserve">su estatus </w:t>
      </w:r>
      <w:r w:rsidR="006B34B9">
        <w:rPr>
          <w:lang w:val="es-MX"/>
        </w:rPr>
        <w:t xml:space="preserve">de </w:t>
      </w:r>
      <w:r w:rsidR="00DB367A">
        <w:rPr>
          <w:lang w:val="es-MX"/>
        </w:rPr>
        <w:t>ciudadanía</w:t>
      </w:r>
      <w:r w:rsidR="005C2312">
        <w:rPr>
          <w:lang w:val="es-MX"/>
        </w:rPr>
        <w:t>.</w:t>
      </w:r>
      <w:r>
        <w:rPr>
          <w:lang w:val="es-MX"/>
        </w:rPr>
        <w:t xml:space="preserve"> Este </w:t>
      </w:r>
      <w:r w:rsidR="00DB367A">
        <w:rPr>
          <w:lang w:val="es-MX"/>
        </w:rPr>
        <w:t xml:space="preserve">es un resultado interesante. </w:t>
      </w:r>
      <w:r w:rsidR="008F471A">
        <w:rPr>
          <w:lang w:val="es-MX"/>
        </w:rPr>
        <w:t xml:space="preserve">Una perspectiva </w:t>
      </w:r>
      <w:r w:rsidR="00DB367A">
        <w:rPr>
          <w:lang w:val="es-MX"/>
        </w:rPr>
        <w:t xml:space="preserve">de la información sugiere que </w:t>
      </w:r>
      <w:r w:rsidR="008F471A">
        <w:rPr>
          <w:lang w:val="es-MX"/>
        </w:rPr>
        <w:t xml:space="preserve">quienes nacieron </w:t>
      </w:r>
      <w:r w:rsidR="002F1E2C">
        <w:rPr>
          <w:lang w:val="es-MX"/>
        </w:rPr>
        <w:t>en el extranjero tiende</w:t>
      </w:r>
      <w:r w:rsidR="00DB367A">
        <w:rPr>
          <w:lang w:val="es-MX"/>
        </w:rPr>
        <w:t>n a vivir en enclaves étnicos</w:t>
      </w:r>
      <w:r>
        <w:rPr>
          <w:lang w:val="es-MX"/>
        </w:rPr>
        <w:t xml:space="preserve"> (</w:t>
      </w:r>
      <w:r w:rsidR="005C2312">
        <w:rPr>
          <w:lang w:val="es-MX"/>
        </w:rPr>
        <w:t>P</w:t>
      </w:r>
      <w:r>
        <w:rPr>
          <w:lang w:val="es-MX"/>
        </w:rPr>
        <w:t>or ejemplo</w:t>
      </w:r>
      <w:r w:rsidR="00E9174F">
        <w:rPr>
          <w:lang w:val="es-MX"/>
        </w:rPr>
        <w:t>,</w:t>
      </w:r>
      <w:r>
        <w:rPr>
          <w:lang w:val="es-MX"/>
        </w:rPr>
        <w:t xml:space="preserve"> Portes </w:t>
      </w:r>
      <w:r>
        <w:rPr>
          <w:rFonts w:eastAsia="Calibri"/>
          <w:lang w:val="es-MX"/>
        </w:rPr>
        <w:t>y B</w:t>
      </w:r>
      <w:r w:rsidR="00E9174F">
        <w:rPr>
          <w:rFonts w:eastAsia="Calibri"/>
          <w:lang w:val="es-MX"/>
        </w:rPr>
        <w:t>ach 1985; Portes y Manning 1985</w:t>
      </w:r>
      <w:r>
        <w:rPr>
          <w:rFonts w:eastAsia="Calibri"/>
          <w:lang w:val="es-MX"/>
        </w:rPr>
        <w:t xml:space="preserve"> y Portes y</w:t>
      </w:r>
      <w:r w:rsidRPr="00252C1D">
        <w:rPr>
          <w:rFonts w:eastAsia="Calibri"/>
          <w:lang w:val="es-MX"/>
        </w:rPr>
        <w:t xml:space="preserve"> S</w:t>
      </w:r>
      <w:r>
        <w:rPr>
          <w:rFonts w:eastAsia="Calibri"/>
          <w:lang w:val="es-MX"/>
        </w:rPr>
        <w:t xml:space="preserve">tepick 1985; </w:t>
      </w:r>
      <w:r w:rsidR="00DB367A">
        <w:rPr>
          <w:rFonts w:eastAsia="Calibri"/>
          <w:lang w:val="es-MX"/>
        </w:rPr>
        <w:t xml:space="preserve">pero </w:t>
      </w:r>
      <w:r w:rsidR="008F471A">
        <w:rPr>
          <w:rFonts w:eastAsia="Calibri"/>
          <w:lang w:val="es-MX"/>
        </w:rPr>
        <w:t xml:space="preserve">viendo </w:t>
      </w:r>
      <w:r w:rsidR="00722B62">
        <w:rPr>
          <w:rFonts w:eastAsia="Calibri"/>
          <w:lang w:val="es-MX"/>
        </w:rPr>
        <w:t>también</w:t>
      </w:r>
      <w:r>
        <w:rPr>
          <w:rFonts w:eastAsia="Calibri"/>
          <w:lang w:val="es-MX"/>
        </w:rPr>
        <w:t xml:space="preserve"> el modelo de </w:t>
      </w:r>
      <w:r w:rsidRPr="00252C1D">
        <w:rPr>
          <w:rFonts w:eastAsia="Calibri"/>
          <w:lang w:val="es-MX"/>
        </w:rPr>
        <w:t>1985</w:t>
      </w:r>
      <w:r w:rsidRPr="00252C1D">
        <w:rPr>
          <w:lang w:val="es-MX"/>
        </w:rPr>
        <w:t>)</w:t>
      </w:r>
      <w:r w:rsidR="00722B62">
        <w:rPr>
          <w:lang w:val="es-MX"/>
        </w:rPr>
        <w:t xml:space="preserve"> y que los inmigrantes indocumentados puedan restringir </w:t>
      </w:r>
      <w:r w:rsidR="00DB367A">
        <w:rPr>
          <w:lang w:val="es-MX"/>
        </w:rPr>
        <w:t xml:space="preserve">su manejo </w:t>
      </w:r>
      <w:r w:rsidR="00722B62">
        <w:rPr>
          <w:lang w:val="es-MX"/>
        </w:rPr>
        <w:t>para evitar la interacción con la</w:t>
      </w:r>
      <w:r w:rsidR="00DB367A">
        <w:rPr>
          <w:lang w:val="es-MX"/>
        </w:rPr>
        <w:t>s agencias policiacas dado que las mul</w:t>
      </w:r>
      <w:r w:rsidR="002F1E2C">
        <w:rPr>
          <w:lang w:val="es-MX"/>
        </w:rPr>
        <w:t>tas de tránsito</w:t>
      </w:r>
      <w:r w:rsidR="00E9174F">
        <w:rPr>
          <w:lang w:val="es-MX"/>
        </w:rPr>
        <w:t xml:space="preserve"> so</w:t>
      </w:r>
      <w:r w:rsidR="00DB367A">
        <w:rPr>
          <w:lang w:val="es-MX"/>
        </w:rPr>
        <w:t xml:space="preserve">n una forma de vigilancia policiaca </w:t>
      </w:r>
      <w:r w:rsidR="00E9174F">
        <w:rPr>
          <w:lang w:val="es-MX"/>
        </w:rPr>
        <w:t xml:space="preserve">migratoria </w:t>
      </w:r>
      <w:r w:rsidR="00DB367A">
        <w:rPr>
          <w:lang w:val="es-MX"/>
        </w:rPr>
        <w:t>ilegal.</w:t>
      </w:r>
      <w:r w:rsidR="00E9174F">
        <w:rPr>
          <w:lang w:val="es-MX"/>
        </w:rPr>
        <w:t xml:space="preserve"> </w:t>
      </w:r>
      <w:r w:rsidR="00722B62">
        <w:rPr>
          <w:lang w:val="es-MX"/>
        </w:rPr>
        <w:t>(</w:t>
      </w:r>
      <w:r w:rsidR="00BF32C3">
        <w:rPr>
          <w:lang w:val="es-MX"/>
        </w:rPr>
        <w:t>Observe</w:t>
      </w:r>
      <w:r w:rsidR="00722B62" w:rsidRPr="00722B62">
        <w:rPr>
          <w:lang w:val="es-MX"/>
        </w:rPr>
        <w:t xml:space="preserve"> Armenta, 2016; </w:t>
      </w:r>
      <w:r w:rsidR="00722B62" w:rsidRPr="00722B62">
        <w:rPr>
          <w:rFonts w:eastAsia="Calibri"/>
          <w:lang w:val="es-MX"/>
        </w:rPr>
        <w:t>Provine et al., 2016</w:t>
      </w:r>
      <w:r w:rsidR="00722B62" w:rsidRPr="00722B62">
        <w:rPr>
          <w:lang w:val="es-MX"/>
        </w:rPr>
        <w:t>).</w:t>
      </w:r>
      <w:r w:rsidR="00722B62">
        <w:rPr>
          <w:lang w:val="es-MX"/>
        </w:rPr>
        <w:t xml:space="preserve"> Sospechamos que</w:t>
      </w:r>
      <w:r w:rsidR="00DB367A">
        <w:rPr>
          <w:lang w:val="es-MX"/>
        </w:rPr>
        <w:t xml:space="preserve"> quienes viven en vecindarios con </w:t>
      </w:r>
      <w:r w:rsidR="008F471A">
        <w:rPr>
          <w:lang w:val="es-MX"/>
        </w:rPr>
        <w:t>en</w:t>
      </w:r>
      <w:r w:rsidR="00BF32C3">
        <w:rPr>
          <w:lang w:val="es-MX"/>
        </w:rPr>
        <w:t>clavismo</w:t>
      </w:r>
      <w:r w:rsidR="00DB367A">
        <w:rPr>
          <w:lang w:val="es-MX"/>
        </w:rPr>
        <w:t xml:space="preserve"> </w:t>
      </w:r>
      <w:r w:rsidR="008F471A">
        <w:rPr>
          <w:lang w:val="es-MX"/>
        </w:rPr>
        <w:t xml:space="preserve">de nivel medio </w:t>
      </w:r>
      <w:r w:rsidR="00DB367A">
        <w:rPr>
          <w:lang w:val="es-MX"/>
        </w:rPr>
        <w:t xml:space="preserve">pueden ser integrados a la ciudad y </w:t>
      </w:r>
      <w:r w:rsidR="008F471A">
        <w:rPr>
          <w:lang w:val="es-MX"/>
        </w:rPr>
        <w:t xml:space="preserve">tener </w:t>
      </w:r>
      <w:r w:rsidR="00BF32C3">
        <w:rPr>
          <w:lang w:val="es-MX"/>
        </w:rPr>
        <w:t>más</w:t>
      </w:r>
      <w:r w:rsidR="00DB367A">
        <w:rPr>
          <w:lang w:val="es-MX"/>
        </w:rPr>
        <w:t xml:space="preserve"> movilidad que </w:t>
      </w:r>
      <w:r w:rsidR="008F471A">
        <w:rPr>
          <w:lang w:val="es-MX"/>
        </w:rPr>
        <w:t xml:space="preserve">quienes </w:t>
      </w:r>
      <w:r w:rsidR="00DB367A">
        <w:rPr>
          <w:lang w:val="es-MX"/>
        </w:rPr>
        <w:t xml:space="preserve">viven en vecindarios de enclave </w:t>
      </w:r>
      <w:r w:rsidR="008F471A">
        <w:rPr>
          <w:lang w:val="es-MX"/>
        </w:rPr>
        <w:t xml:space="preserve">alto </w:t>
      </w:r>
      <w:r w:rsidR="00DB367A">
        <w:rPr>
          <w:lang w:val="es-MX"/>
        </w:rPr>
        <w:t xml:space="preserve">cuya movilidad </w:t>
      </w:r>
      <w:r w:rsidR="00BF32C3">
        <w:rPr>
          <w:lang w:val="es-MX"/>
        </w:rPr>
        <w:t>está</w:t>
      </w:r>
      <w:r w:rsidR="00DB367A">
        <w:rPr>
          <w:lang w:val="es-MX"/>
        </w:rPr>
        <w:t xml:space="preserve"> restringida en es</w:t>
      </w:r>
      <w:r w:rsidR="004C2F3E">
        <w:rPr>
          <w:lang w:val="es-MX"/>
        </w:rPr>
        <w:t>t</w:t>
      </w:r>
      <w:r w:rsidR="00DB367A">
        <w:rPr>
          <w:lang w:val="es-MX"/>
        </w:rPr>
        <w:t xml:space="preserve">os vecindarios </w:t>
      </w:r>
      <w:r w:rsidR="00BF32C3">
        <w:rPr>
          <w:lang w:val="es-MX"/>
        </w:rPr>
        <w:t>segregados</w:t>
      </w:r>
      <w:r w:rsidR="00DB367A">
        <w:rPr>
          <w:lang w:val="es-MX"/>
        </w:rPr>
        <w:t>.</w:t>
      </w:r>
      <w:r w:rsidR="00722B62">
        <w:rPr>
          <w:lang w:val="es-MX"/>
        </w:rPr>
        <w:t xml:space="preserve"> </w:t>
      </w:r>
      <w:r w:rsidR="00722B62" w:rsidRPr="00722B62">
        <w:rPr>
          <w:lang w:val="es-MX"/>
        </w:rPr>
        <w:t xml:space="preserve">Otra posibilidad es que </w:t>
      </w:r>
      <w:r w:rsidR="008F471A">
        <w:rPr>
          <w:lang w:val="es-MX"/>
        </w:rPr>
        <w:t xml:space="preserve">quienes </w:t>
      </w:r>
      <w:r w:rsidR="00BF32C3">
        <w:rPr>
          <w:lang w:val="es-MX"/>
        </w:rPr>
        <w:t xml:space="preserve">habitan en </w:t>
      </w:r>
      <w:r w:rsidR="00722B62" w:rsidRPr="00722B62">
        <w:rPr>
          <w:lang w:val="es-MX"/>
        </w:rPr>
        <w:t xml:space="preserve">vecindarios </w:t>
      </w:r>
      <w:r w:rsidR="00722B62">
        <w:rPr>
          <w:lang w:val="es-MX"/>
        </w:rPr>
        <w:t xml:space="preserve">de </w:t>
      </w:r>
      <w:r w:rsidR="00BF32C3">
        <w:rPr>
          <w:lang w:val="es-MX"/>
        </w:rPr>
        <w:t xml:space="preserve">enclave </w:t>
      </w:r>
      <w:r w:rsidR="008F471A">
        <w:rPr>
          <w:lang w:val="es-MX"/>
        </w:rPr>
        <w:t xml:space="preserve">de nivel medio </w:t>
      </w:r>
      <w:r w:rsidR="00722B62">
        <w:rPr>
          <w:lang w:val="es-MX"/>
        </w:rPr>
        <w:t xml:space="preserve">pueden estar más </w:t>
      </w:r>
      <w:r w:rsidR="00191D85">
        <w:rPr>
          <w:lang w:val="es-MX"/>
        </w:rPr>
        <w:t>conscientes</w:t>
      </w:r>
      <w:r w:rsidR="00722B62">
        <w:rPr>
          <w:lang w:val="es-MX"/>
        </w:rPr>
        <w:t xml:space="preserve"> de ser </w:t>
      </w:r>
      <w:r w:rsidR="00BF32C3">
        <w:rPr>
          <w:lang w:val="es-MX"/>
        </w:rPr>
        <w:t xml:space="preserve">categorizados </w:t>
      </w:r>
      <w:r w:rsidR="00E9174F">
        <w:rPr>
          <w:lang w:val="es-MX"/>
        </w:rPr>
        <w:t xml:space="preserve">y estar </w:t>
      </w:r>
      <w:r w:rsidR="00BF32C3">
        <w:rPr>
          <w:lang w:val="es-MX"/>
        </w:rPr>
        <w:t xml:space="preserve">más dispuestos a </w:t>
      </w:r>
      <w:r w:rsidR="00722B62">
        <w:rPr>
          <w:lang w:val="es-MX"/>
        </w:rPr>
        <w:t>reportar el incidente</w:t>
      </w:r>
      <w:r w:rsidR="00BF32C3">
        <w:rPr>
          <w:lang w:val="es-MX"/>
        </w:rPr>
        <w:t>,</w:t>
      </w:r>
      <w:r w:rsidR="00722B62">
        <w:rPr>
          <w:lang w:val="es-MX"/>
        </w:rPr>
        <w:t xml:space="preserve"> en c</w:t>
      </w:r>
      <w:r w:rsidR="00BF32C3">
        <w:rPr>
          <w:lang w:val="es-MX"/>
        </w:rPr>
        <w:t>ontraste con los</w:t>
      </w:r>
      <w:r w:rsidR="00722B62">
        <w:rPr>
          <w:lang w:val="es-MX"/>
        </w:rPr>
        <w:t xml:space="preserve"> residentes que viven en vecindarios con características de enclave </w:t>
      </w:r>
      <w:r w:rsidR="007F70CE">
        <w:rPr>
          <w:lang w:val="es-MX"/>
        </w:rPr>
        <w:t xml:space="preserve">alto. </w:t>
      </w:r>
      <w:r w:rsidR="00722B62">
        <w:rPr>
          <w:lang w:val="es-MX"/>
        </w:rPr>
        <w:t>Desafortunadamente, no tenemos</w:t>
      </w:r>
      <w:r w:rsidR="00BF32C3">
        <w:rPr>
          <w:lang w:val="es-MX"/>
        </w:rPr>
        <w:t xml:space="preserve"> información para probar </w:t>
      </w:r>
      <w:r w:rsidR="00E9174F">
        <w:rPr>
          <w:lang w:val="es-MX"/>
        </w:rPr>
        <w:t xml:space="preserve">a fondo </w:t>
      </w:r>
      <w:r w:rsidR="00BF32C3">
        <w:rPr>
          <w:lang w:val="es-MX"/>
        </w:rPr>
        <w:t>esta hipótesis. Con respecto a la pobreza a nivel vecindar</w:t>
      </w:r>
      <w:r w:rsidR="002F1E2C">
        <w:rPr>
          <w:lang w:val="es-MX"/>
        </w:rPr>
        <w:t>io</w:t>
      </w:r>
      <w:r w:rsidR="00BF32C3">
        <w:rPr>
          <w:lang w:val="es-MX"/>
        </w:rPr>
        <w:t>, un aumento en el porcentaj</w:t>
      </w:r>
      <w:r w:rsidR="00E9174F">
        <w:rPr>
          <w:lang w:val="es-MX"/>
        </w:rPr>
        <w:t>e en las viviendas que ganan menos</w:t>
      </w:r>
      <w:r w:rsidR="00BF32C3">
        <w:rPr>
          <w:lang w:val="es-MX"/>
        </w:rPr>
        <w:t xml:space="preserve"> de $10,000 dólares al </w:t>
      </w:r>
      <w:r w:rsidR="00E9174F">
        <w:rPr>
          <w:lang w:val="es-MX"/>
        </w:rPr>
        <w:t>año</w:t>
      </w:r>
      <w:r w:rsidR="00BF32C3">
        <w:rPr>
          <w:lang w:val="es-MX"/>
        </w:rPr>
        <w:t xml:space="preserve"> corr</w:t>
      </w:r>
      <w:r w:rsidR="007F70CE">
        <w:rPr>
          <w:lang w:val="es-MX"/>
        </w:rPr>
        <w:t>esponde a casi un aumento del 3</w:t>
      </w:r>
      <w:r w:rsidR="00BF32C3">
        <w:rPr>
          <w:lang w:val="es-MX"/>
        </w:rPr>
        <w:t xml:space="preserve">% </w:t>
      </w:r>
      <w:r w:rsidR="006B2575">
        <w:rPr>
          <w:lang w:val="es-MX"/>
        </w:rPr>
        <w:t xml:space="preserve">de </w:t>
      </w:r>
      <w:r w:rsidR="00BF32C3">
        <w:rPr>
          <w:lang w:val="es-MX"/>
        </w:rPr>
        <w:t xml:space="preserve">probabilidad de ser cuestionado su estatus de ciudadanía por las agencias policiacas. </w:t>
      </w:r>
      <w:r w:rsidR="00191D85">
        <w:rPr>
          <w:lang w:val="es-MX"/>
        </w:rPr>
        <w:t xml:space="preserve"> </w:t>
      </w:r>
    </w:p>
    <w:p w14:paraId="2A37D310" w14:textId="05F551F6" w:rsidR="00191D85" w:rsidRPr="00191D85" w:rsidRDefault="0006644F" w:rsidP="00F0717A">
      <w:pPr>
        <w:spacing w:line="480" w:lineRule="auto"/>
        <w:ind w:firstLine="720"/>
        <w:jc w:val="both"/>
        <w:rPr>
          <w:lang w:val="es-MX"/>
        </w:rPr>
      </w:pPr>
      <w:r>
        <w:rPr>
          <w:lang w:val="es-MX"/>
        </w:rPr>
        <w:t>D</w:t>
      </w:r>
      <w:r w:rsidR="00191D85" w:rsidRPr="00191D85">
        <w:rPr>
          <w:lang w:val="es-MX"/>
        </w:rPr>
        <w:t>eterminamos que los factore</w:t>
      </w:r>
      <w:r>
        <w:rPr>
          <w:lang w:val="es-MX"/>
        </w:rPr>
        <w:t xml:space="preserve">s a nivel </w:t>
      </w:r>
      <w:r w:rsidR="00191D85" w:rsidRPr="00191D85">
        <w:rPr>
          <w:lang w:val="es-MX"/>
        </w:rPr>
        <w:t>vecindario moderan la relación entre los</w:t>
      </w:r>
      <w:r>
        <w:rPr>
          <w:lang w:val="es-MX"/>
        </w:rPr>
        <w:t xml:space="preserve"> factores a nivel individual y de ser cues</w:t>
      </w:r>
      <w:r w:rsidR="007F70CE">
        <w:rPr>
          <w:lang w:val="es-MX"/>
        </w:rPr>
        <w:t>tionados el</w:t>
      </w:r>
      <w:r>
        <w:rPr>
          <w:lang w:val="es-MX"/>
        </w:rPr>
        <w:t xml:space="preserve"> estatus de ciudadanía, aunque la importancia y dirección de la influencia de los factores a nivel individual</w:t>
      </w:r>
      <w:r w:rsidR="00802357">
        <w:rPr>
          <w:lang w:val="es-MX"/>
        </w:rPr>
        <w:t>,</w:t>
      </w:r>
      <w:r>
        <w:rPr>
          <w:lang w:val="es-MX"/>
        </w:rPr>
        <w:t xml:space="preserve"> sea la misma. El efecto del estat</w:t>
      </w:r>
      <w:r w:rsidR="00485E62">
        <w:rPr>
          <w:lang w:val="es-MX"/>
        </w:rPr>
        <w:t>us generacional ejerce una influencia positiva</w:t>
      </w:r>
      <w:r>
        <w:rPr>
          <w:lang w:val="es-MX"/>
        </w:rPr>
        <w:t xml:space="preserve"> e importante en la probabilidad de </w:t>
      </w:r>
      <w:r w:rsidR="007F70CE">
        <w:rPr>
          <w:lang w:val="es-MX"/>
        </w:rPr>
        <w:t xml:space="preserve">cuestionar el </w:t>
      </w:r>
      <w:r>
        <w:rPr>
          <w:lang w:val="es-MX"/>
        </w:rPr>
        <w:t xml:space="preserve">estatus de </w:t>
      </w:r>
      <w:r>
        <w:rPr>
          <w:lang w:val="es-MX"/>
        </w:rPr>
        <w:lastRenderedPageBreak/>
        <w:t>ciudadanía por las agencias policiacas</w:t>
      </w:r>
      <w:r w:rsidR="00802357">
        <w:rPr>
          <w:lang w:val="es-MX"/>
        </w:rPr>
        <w:t>, incluso después de introducir las</w:t>
      </w:r>
      <w:r>
        <w:rPr>
          <w:lang w:val="es-MX"/>
        </w:rPr>
        <w:t xml:space="preserve"> variables a nivel individual y de vecindario. En particular, la probabilidad de ser cuestionado </w:t>
      </w:r>
      <w:r w:rsidR="00802357">
        <w:rPr>
          <w:lang w:val="es-MX"/>
        </w:rPr>
        <w:t xml:space="preserve">su estatus de ciudadanía fue </w:t>
      </w:r>
      <w:r>
        <w:rPr>
          <w:lang w:val="es-MX"/>
        </w:rPr>
        <w:t xml:space="preserve">93% </w:t>
      </w:r>
      <w:r w:rsidR="002F1E2C">
        <w:rPr>
          <w:lang w:val="es-MX"/>
        </w:rPr>
        <w:t xml:space="preserve">mayor </w:t>
      </w:r>
      <w:r w:rsidR="00802357">
        <w:rPr>
          <w:lang w:val="es-MX"/>
        </w:rPr>
        <w:t>entre la primera y un 8</w:t>
      </w:r>
      <w:r w:rsidR="002F1E2C">
        <w:rPr>
          <w:lang w:val="es-MX"/>
        </w:rPr>
        <w:t>9% mayor</w:t>
      </w:r>
      <w:r>
        <w:rPr>
          <w:lang w:val="es-MX"/>
        </w:rPr>
        <w:t xml:space="preserve"> entre la segunda generación, en contraste con la tercera generación y posteriores.</w:t>
      </w:r>
      <w:r w:rsidR="00191D85" w:rsidRPr="00191D85">
        <w:rPr>
          <w:lang w:val="es-MX"/>
        </w:rPr>
        <w:t xml:space="preserve"> </w:t>
      </w:r>
    </w:p>
    <w:p w14:paraId="5B52F7B6" w14:textId="225187AF" w:rsidR="00063B12" w:rsidRPr="00420A77" w:rsidRDefault="00DA6AA9" w:rsidP="00F0717A">
      <w:pPr>
        <w:spacing w:line="480" w:lineRule="auto"/>
        <w:jc w:val="both"/>
        <w:rPr>
          <w:rFonts w:eastAsia="Calibri"/>
          <w:u w:val="single"/>
          <w:lang w:val="es-MX"/>
        </w:rPr>
      </w:pPr>
      <w:r w:rsidRPr="00420A77">
        <w:rPr>
          <w:rFonts w:eastAsia="Calibri"/>
          <w:lang w:val="es-MX"/>
        </w:rPr>
        <w:t>CONCLUSION</w:t>
      </w:r>
    </w:p>
    <w:p w14:paraId="4A838465" w14:textId="49A2A70C" w:rsidR="00191D85" w:rsidRPr="00420A77" w:rsidRDefault="0006644F" w:rsidP="00F0717A">
      <w:pPr>
        <w:spacing w:line="480" w:lineRule="auto"/>
        <w:ind w:firstLine="720"/>
        <w:jc w:val="both"/>
        <w:rPr>
          <w:rFonts w:eastAsia="Calibri"/>
          <w:lang w:val="es-MX"/>
        </w:rPr>
      </w:pPr>
      <w:r>
        <w:rPr>
          <w:rFonts w:eastAsia="Calibri"/>
          <w:lang w:val="es-MX"/>
        </w:rPr>
        <w:t xml:space="preserve">En base a las investigaciones principales sobre 677 personas </w:t>
      </w:r>
      <w:r w:rsidR="00191D85" w:rsidRPr="00191D85">
        <w:rPr>
          <w:rFonts w:eastAsia="Calibri"/>
          <w:lang w:val="es-MX"/>
        </w:rPr>
        <w:t xml:space="preserve">que </w:t>
      </w:r>
      <w:r w:rsidR="00485E62">
        <w:rPr>
          <w:rFonts w:eastAsia="Calibri"/>
          <w:lang w:val="es-MX"/>
        </w:rPr>
        <w:t xml:space="preserve">viven </w:t>
      </w:r>
      <w:r w:rsidR="00191D85" w:rsidRPr="00191D85">
        <w:rPr>
          <w:rFonts w:eastAsia="Calibri"/>
          <w:lang w:val="es-MX"/>
        </w:rPr>
        <w:t xml:space="preserve">en 46 vecindarios, este </w:t>
      </w:r>
      <w:r w:rsidR="00191D85">
        <w:rPr>
          <w:rFonts w:eastAsia="Calibri"/>
          <w:lang w:val="es-MX"/>
        </w:rPr>
        <w:t>e</w:t>
      </w:r>
      <w:r w:rsidR="00191D85" w:rsidRPr="00191D85">
        <w:rPr>
          <w:rFonts w:eastAsia="Calibri"/>
          <w:lang w:val="es-MX"/>
        </w:rPr>
        <w:t>studio</w:t>
      </w:r>
      <w:r>
        <w:rPr>
          <w:rFonts w:eastAsia="Calibri"/>
          <w:lang w:val="es-MX"/>
        </w:rPr>
        <w:t xml:space="preserve"> utilizó</w:t>
      </w:r>
      <w:r w:rsidR="00485E62">
        <w:rPr>
          <w:rFonts w:eastAsia="Calibri"/>
          <w:lang w:val="es-MX"/>
        </w:rPr>
        <w:t xml:space="preserve"> métodos HGLM</w:t>
      </w:r>
      <w:r w:rsidR="00191D85">
        <w:rPr>
          <w:rFonts w:eastAsia="Calibri"/>
          <w:lang w:val="es-MX"/>
        </w:rPr>
        <w:t xml:space="preserve"> para in</w:t>
      </w:r>
      <w:r w:rsidR="00802357">
        <w:rPr>
          <w:rFonts w:eastAsia="Calibri"/>
          <w:lang w:val="es-MX"/>
        </w:rPr>
        <w:t xml:space="preserve">vestigar la probabilidad de ser </w:t>
      </w:r>
      <w:r w:rsidR="00191D85">
        <w:rPr>
          <w:rFonts w:eastAsia="Calibri"/>
          <w:lang w:val="es-MX"/>
        </w:rPr>
        <w:t xml:space="preserve">cuestionado su estatus de </w:t>
      </w:r>
      <w:r w:rsidR="00F31FAC">
        <w:rPr>
          <w:rFonts w:eastAsia="Calibri"/>
          <w:lang w:val="es-MX"/>
        </w:rPr>
        <w:t>ciudadanía</w:t>
      </w:r>
      <w:r w:rsidR="00191D85">
        <w:rPr>
          <w:rFonts w:eastAsia="Calibri"/>
          <w:lang w:val="es-MX"/>
        </w:rPr>
        <w:t xml:space="preserve"> </w:t>
      </w:r>
      <w:r w:rsidR="00485E62">
        <w:rPr>
          <w:rFonts w:eastAsia="Calibri"/>
          <w:lang w:val="es-MX"/>
        </w:rPr>
        <w:t xml:space="preserve">por las agencias policiacas </w:t>
      </w:r>
      <w:r>
        <w:rPr>
          <w:rFonts w:eastAsia="Calibri"/>
          <w:lang w:val="es-MX"/>
        </w:rPr>
        <w:t xml:space="preserve">a lo largo </w:t>
      </w:r>
      <w:r w:rsidR="00191D85">
        <w:rPr>
          <w:rFonts w:eastAsia="Calibri"/>
          <w:lang w:val="es-MX"/>
        </w:rPr>
        <w:t xml:space="preserve">de </w:t>
      </w:r>
      <w:r w:rsidR="00802357">
        <w:rPr>
          <w:rFonts w:eastAsia="Calibri"/>
          <w:lang w:val="es-MX"/>
        </w:rPr>
        <w:t xml:space="preserve">la ciudad de </w:t>
      </w:r>
      <w:r>
        <w:rPr>
          <w:rFonts w:eastAsia="Calibri"/>
          <w:lang w:val="es-MX"/>
        </w:rPr>
        <w:t xml:space="preserve">El Paso, Texas </w:t>
      </w:r>
      <w:r w:rsidR="00802357">
        <w:rPr>
          <w:rFonts w:eastAsia="Calibri"/>
          <w:lang w:val="es-MX"/>
        </w:rPr>
        <w:t xml:space="preserve">en la frontera </w:t>
      </w:r>
      <w:r w:rsidR="00191D85">
        <w:rPr>
          <w:rFonts w:eastAsia="Calibri"/>
          <w:lang w:val="es-MX"/>
        </w:rPr>
        <w:t>Estados Unidos</w:t>
      </w:r>
      <w:r>
        <w:rPr>
          <w:rFonts w:eastAsia="Calibri"/>
          <w:lang w:val="es-MX"/>
        </w:rPr>
        <w:t xml:space="preserve">-México. </w:t>
      </w:r>
      <w:r w:rsidR="00191D85">
        <w:rPr>
          <w:rFonts w:eastAsia="Calibri"/>
          <w:lang w:val="es-MX"/>
        </w:rPr>
        <w:t xml:space="preserve"> </w:t>
      </w:r>
      <w:r w:rsidR="00F31FAC">
        <w:rPr>
          <w:rFonts w:eastAsia="Calibri"/>
          <w:lang w:val="es-MX"/>
        </w:rPr>
        <w:t>La respuesta</w:t>
      </w:r>
      <w:r w:rsidR="00191D85" w:rsidRPr="00191D85">
        <w:rPr>
          <w:rFonts w:eastAsia="Calibri"/>
          <w:lang w:val="es-MX"/>
        </w:rPr>
        <w:t xml:space="preserve"> </w:t>
      </w:r>
      <w:r w:rsidR="00F31FAC">
        <w:rPr>
          <w:rFonts w:eastAsia="Calibri"/>
          <w:lang w:val="es-MX"/>
        </w:rPr>
        <w:t xml:space="preserve"> a esta pregunta tiene implicaciones para comprender la elaboración de perfiles racial</w:t>
      </w:r>
      <w:r>
        <w:rPr>
          <w:rFonts w:eastAsia="Calibri"/>
          <w:lang w:val="es-MX"/>
        </w:rPr>
        <w:t xml:space="preserve">es y de ciudadanía </w:t>
      </w:r>
      <w:r w:rsidR="00F31FAC">
        <w:rPr>
          <w:rFonts w:eastAsia="Calibri"/>
          <w:lang w:val="es-MX"/>
        </w:rPr>
        <w:t>particula</w:t>
      </w:r>
      <w:r w:rsidR="005456A4">
        <w:rPr>
          <w:rFonts w:eastAsia="Calibri"/>
          <w:lang w:val="es-MX"/>
        </w:rPr>
        <w:t xml:space="preserve">rmente entre los latinos </w:t>
      </w:r>
      <w:r w:rsidR="00F31FAC">
        <w:rPr>
          <w:rFonts w:eastAsia="Calibri"/>
          <w:lang w:val="es-MX"/>
        </w:rPr>
        <w:t>quienes son la mayoría num</w:t>
      </w:r>
      <w:r w:rsidR="005456A4">
        <w:rPr>
          <w:rFonts w:eastAsia="Calibri"/>
          <w:lang w:val="es-MX"/>
        </w:rPr>
        <w:t xml:space="preserve">érica en esta región. Además como </w:t>
      </w:r>
      <w:r w:rsidR="00802357">
        <w:rPr>
          <w:rFonts w:eastAsia="Calibri"/>
          <w:lang w:val="es-MX"/>
        </w:rPr>
        <w:t xml:space="preserve">lo señaló </w:t>
      </w:r>
      <w:r w:rsidR="005456A4">
        <w:rPr>
          <w:rFonts w:eastAsia="Calibri"/>
          <w:lang w:val="es-MX"/>
        </w:rPr>
        <w:t>Coutin (2011) considerando</w:t>
      </w:r>
      <w:r w:rsidR="00F31FAC">
        <w:rPr>
          <w:rFonts w:eastAsia="Calibri"/>
          <w:lang w:val="es-MX"/>
        </w:rPr>
        <w:t xml:space="preserve"> el cambio de esfuerzos de vigilancia nacional a local</w:t>
      </w:r>
      <w:r w:rsidR="005456A4">
        <w:rPr>
          <w:rFonts w:eastAsia="Calibri"/>
          <w:lang w:val="es-MX"/>
        </w:rPr>
        <w:t>,</w:t>
      </w:r>
      <w:r w:rsidR="00802357">
        <w:rPr>
          <w:rFonts w:eastAsia="Calibri"/>
          <w:lang w:val="es-MX"/>
        </w:rPr>
        <w:t xml:space="preserve"> es más importante que nunca, </w:t>
      </w:r>
      <w:r w:rsidR="005456A4">
        <w:rPr>
          <w:rFonts w:eastAsia="Calibri"/>
          <w:lang w:val="es-MX"/>
        </w:rPr>
        <w:t xml:space="preserve">que las agencias policiacas hagan distinciones entre ciudadanos y no ciudadanos. Aún más, también estudiamos los efectos de vecindario sobre quien es </w:t>
      </w:r>
      <w:r w:rsidR="00F31FAC">
        <w:rPr>
          <w:rFonts w:eastAsia="Calibri"/>
          <w:lang w:val="es-MX"/>
        </w:rPr>
        <w:t>cuestionado acerca de su estatus de ciudadanía, además de investigar el impacto estructural en la elaboración de</w:t>
      </w:r>
      <w:r w:rsidR="005456A4">
        <w:rPr>
          <w:rFonts w:eastAsia="Calibri"/>
          <w:lang w:val="es-MX"/>
        </w:rPr>
        <w:t>l</w:t>
      </w:r>
      <w:r w:rsidR="00F31FAC">
        <w:rPr>
          <w:rFonts w:eastAsia="Calibri"/>
          <w:lang w:val="es-MX"/>
        </w:rPr>
        <w:t xml:space="preserve"> perfil de </w:t>
      </w:r>
      <w:r w:rsidR="005456A4">
        <w:rPr>
          <w:rFonts w:eastAsia="Calibri"/>
          <w:lang w:val="es-MX"/>
        </w:rPr>
        <w:t>ciudadanía</w:t>
      </w:r>
      <w:r w:rsidR="00F31FAC">
        <w:rPr>
          <w:rFonts w:eastAsia="Calibri"/>
          <w:lang w:val="es-MX"/>
        </w:rPr>
        <w:t xml:space="preserve">. Encontramos que </w:t>
      </w:r>
      <w:r w:rsidR="005456A4">
        <w:rPr>
          <w:rFonts w:eastAsia="Calibri"/>
          <w:lang w:val="es-MX"/>
        </w:rPr>
        <w:t>incluso en</w:t>
      </w:r>
      <w:r w:rsidR="00F31FAC">
        <w:rPr>
          <w:rFonts w:eastAsia="Calibri"/>
          <w:lang w:val="es-MX"/>
        </w:rPr>
        <w:t xml:space="preserve"> El Paso</w:t>
      </w:r>
      <w:r w:rsidR="005456A4">
        <w:rPr>
          <w:rFonts w:eastAsia="Calibri"/>
          <w:lang w:val="es-MX"/>
        </w:rPr>
        <w:t xml:space="preserve"> que no tiene un </w:t>
      </w:r>
      <w:r w:rsidR="00485E62">
        <w:rPr>
          <w:rFonts w:eastAsia="Calibri"/>
          <w:lang w:val="es-MX"/>
        </w:rPr>
        <w:t xml:space="preserve">acuerdo </w:t>
      </w:r>
      <w:r w:rsidR="005456A4">
        <w:rPr>
          <w:rFonts w:eastAsia="Calibri"/>
          <w:lang w:val="es-MX"/>
        </w:rPr>
        <w:t xml:space="preserve">formal con el gobierno federal para la vigilancia </w:t>
      </w:r>
      <w:r w:rsidR="00D85B98">
        <w:rPr>
          <w:rFonts w:eastAsia="Calibri"/>
          <w:lang w:val="es-MX"/>
        </w:rPr>
        <w:t xml:space="preserve">migratoria </w:t>
      </w:r>
      <w:r w:rsidR="005456A4">
        <w:rPr>
          <w:rFonts w:eastAsia="Calibri"/>
          <w:lang w:val="es-MX"/>
        </w:rPr>
        <w:t xml:space="preserve">no solo los agentes policiacos </w:t>
      </w:r>
      <w:r w:rsidR="00385F27">
        <w:rPr>
          <w:rFonts w:eastAsia="Calibri"/>
          <w:lang w:val="es-MX"/>
        </w:rPr>
        <w:t>interactúan con los inmigrantes</w:t>
      </w:r>
      <w:r w:rsidR="005456A4">
        <w:rPr>
          <w:rFonts w:eastAsia="Calibri"/>
          <w:lang w:val="es-MX"/>
        </w:rPr>
        <w:t xml:space="preserve"> sino que también se involucran en la elaboración de perfiles de nacionalidad. </w:t>
      </w:r>
      <w:r w:rsidR="00F31FAC">
        <w:rPr>
          <w:rFonts w:eastAsia="Calibri"/>
          <w:lang w:val="es-MX"/>
        </w:rPr>
        <w:t xml:space="preserve"> </w:t>
      </w:r>
    </w:p>
    <w:p w14:paraId="32A1F824" w14:textId="56F1147F" w:rsidR="00420A77" w:rsidRDefault="00F31FAC" w:rsidP="00F0717A">
      <w:pPr>
        <w:spacing w:line="480" w:lineRule="auto"/>
        <w:jc w:val="both"/>
        <w:rPr>
          <w:rFonts w:eastAsia="Calibri"/>
          <w:lang w:val="es-MX"/>
        </w:rPr>
      </w:pPr>
      <w:r w:rsidRPr="008632E6">
        <w:rPr>
          <w:rFonts w:eastAsia="Calibri"/>
          <w:lang w:val="es-MX"/>
        </w:rPr>
        <w:tab/>
      </w:r>
      <w:r w:rsidRPr="00F31FAC">
        <w:rPr>
          <w:rFonts w:eastAsia="Calibri"/>
          <w:lang w:val="es-MX"/>
        </w:rPr>
        <w:t xml:space="preserve">Entonces, </w:t>
      </w:r>
      <w:r>
        <w:rPr>
          <w:rFonts w:eastAsia="Calibri"/>
          <w:lang w:val="es-MX"/>
        </w:rPr>
        <w:t>¿</w:t>
      </w:r>
      <w:r w:rsidRPr="00F31FAC">
        <w:rPr>
          <w:rFonts w:eastAsia="Calibri"/>
          <w:lang w:val="es-MX"/>
        </w:rPr>
        <w:t xml:space="preserve">a </w:t>
      </w:r>
      <w:r w:rsidR="00420A77" w:rsidRPr="00F31FAC">
        <w:rPr>
          <w:rFonts w:eastAsia="Calibri"/>
          <w:lang w:val="es-MX"/>
        </w:rPr>
        <w:t>quién</w:t>
      </w:r>
      <w:r w:rsidRPr="00F31FAC">
        <w:rPr>
          <w:rFonts w:eastAsia="Calibri"/>
          <w:lang w:val="es-MX"/>
        </w:rPr>
        <w:t xml:space="preserve"> percibe</w:t>
      </w:r>
      <w:r w:rsidR="005456A4">
        <w:rPr>
          <w:rFonts w:eastAsia="Calibri"/>
          <w:lang w:val="es-MX"/>
        </w:rPr>
        <w:t>n</w:t>
      </w:r>
      <w:r w:rsidRPr="00F31FAC">
        <w:rPr>
          <w:rFonts w:eastAsia="Calibri"/>
          <w:lang w:val="es-MX"/>
        </w:rPr>
        <w:t xml:space="preserve"> como indocumentados la</w:t>
      </w:r>
      <w:r w:rsidR="005456A4">
        <w:rPr>
          <w:rFonts w:eastAsia="Calibri"/>
          <w:lang w:val="es-MX"/>
        </w:rPr>
        <w:t>s a</w:t>
      </w:r>
      <w:r w:rsidR="00D85B98">
        <w:rPr>
          <w:rFonts w:eastAsia="Calibri"/>
          <w:lang w:val="es-MX"/>
        </w:rPr>
        <w:t>gencias policiacas? Basado en una</w:t>
      </w:r>
      <w:r w:rsidR="005456A4">
        <w:rPr>
          <w:rFonts w:eastAsia="Calibri"/>
          <w:lang w:val="es-MX"/>
        </w:rPr>
        <w:t xml:space="preserve"> investigación cualitativa, nuestro estudio encontró evidencia estadística que es más probable que </w:t>
      </w:r>
      <w:r w:rsidRPr="00F31FAC">
        <w:rPr>
          <w:rFonts w:eastAsia="Calibri"/>
          <w:lang w:val="es-MX"/>
        </w:rPr>
        <w:t xml:space="preserve"> </w:t>
      </w:r>
      <w:r w:rsidR="005456A4">
        <w:rPr>
          <w:rFonts w:eastAsia="Calibri"/>
          <w:lang w:val="es-MX"/>
        </w:rPr>
        <w:t>la primera y la segunda generación</w:t>
      </w:r>
      <w:r w:rsidR="002F1E2C">
        <w:rPr>
          <w:rFonts w:eastAsia="Calibri"/>
          <w:lang w:val="es-MX"/>
        </w:rPr>
        <w:t>,</w:t>
      </w:r>
      <w:r w:rsidR="005456A4">
        <w:rPr>
          <w:rFonts w:eastAsia="Calibri"/>
          <w:lang w:val="es-MX"/>
        </w:rPr>
        <w:t xml:space="preserve"> sean cuestionadas sobre su estatus de ciudadanía que las personas de la tercera generación y posteriores, independi</w:t>
      </w:r>
      <w:r w:rsidR="00D85B98">
        <w:rPr>
          <w:rFonts w:eastAsia="Calibri"/>
          <w:lang w:val="es-MX"/>
        </w:rPr>
        <w:t>entemente de su sexo, etnicidad</w:t>
      </w:r>
      <w:r w:rsidR="005456A4">
        <w:rPr>
          <w:rFonts w:eastAsia="Calibri"/>
          <w:lang w:val="es-MX"/>
        </w:rPr>
        <w:t xml:space="preserve"> latina, edad y características de pobreza de vecindario y nivel d</w:t>
      </w:r>
      <w:r w:rsidR="006B6312">
        <w:rPr>
          <w:rFonts w:eastAsia="Calibri"/>
          <w:lang w:val="es-MX"/>
        </w:rPr>
        <w:t>e en</w:t>
      </w:r>
      <w:r w:rsidR="005456A4">
        <w:rPr>
          <w:rFonts w:eastAsia="Calibri"/>
          <w:lang w:val="es-MX"/>
        </w:rPr>
        <w:t xml:space="preserve">clavismo. </w:t>
      </w:r>
      <w:r w:rsidR="00420A77">
        <w:rPr>
          <w:rFonts w:eastAsia="Calibri"/>
          <w:lang w:val="es-MX"/>
        </w:rPr>
        <w:t>La</w:t>
      </w:r>
      <w:r w:rsidR="00655070">
        <w:rPr>
          <w:rFonts w:eastAsia="Calibri"/>
          <w:lang w:val="es-MX"/>
        </w:rPr>
        <w:t xml:space="preserve">s implicaciones de </w:t>
      </w:r>
      <w:r w:rsidR="00655070">
        <w:rPr>
          <w:rFonts w:eastAsia="Calibri"/>
          <w:lang w:val="es-MX"/>
        </w:rPr>
        <w:lastRenderedPageBreak/>
        <w:t>nuestros resultados para</w:t>
      </w:r>
      <w:r w:rsidR="00420A77">
        <w:rPr>
          <w:rFonts w:eastAsia="Calibri"/>
          <w:lang w:val="es-MX"/>
        </w:rPr>
        <w:t xml:space="preserve"> la primera y segunda generación son extensas. P</w:t>
      </w:r>
      <w:r w:rsidR="00655070">
        <w:rPr>
          <w:rFonts w:eastAsia="Calibri"/>
          <w:lang w:val="es-MX"/>
        </w:rPr>
        <w:t>rimero</w:t>
      </w:r>
      <w:r w:rsidR="00274661">
        <w:rPr>
          <w:rFonts w:eastAsia="Calibri"/>
          <w:lang w:val="es-MX"/>
        </w:rPr>
        <w:t>,</w:t>
      </w:r>
      <w:r w:rsidR="00655070">
        <w:rPr>
          <w:rFonts w:eastAsia="Calibri"/>
          <w:lang w:val="es-MX"/>
        </w:rPr>
        <w:t xml:space="preserve"> tanto las personas de la primera generación como las de la segunda</w:t>
      </w:r>
      <w:r w:rsidR="00274661">
        <w:rPr>
          <w:rFonts w:eastAsia="Calibri"/>
          <w:lang w:val="es-MX"/>
        </w:rPr>
        <w:t>,</w:t>
      </w:r>
      <w:r w:rsidR="002F1E2C">
        <w:rPr>
          <w:rFonts w:eastAsia="Calibri"/>
          <w:lang w:val="es-MX"/>
        </w:rPr>
        <w:t xml:space="preserve"> están sujeta</w:t>
      </w:r>
      <w:r w:rsidR="00655070">
        <w:rPr>
          <w:rFonts w:eastAsia="Calibri"/>
          <w:lang w:val="es-MX"/>
        </w:rPr>
        <w:t xml:space="preserve">s a una </w:t>
      </w:r>
      <w:r w:rsidR="00420A77">
        <w:rPr>
          <w:rFonts w:eastAsia="Calibri"/>
          <w:lang w:val="es-MX"/>
        </w:rPr>
        <w:t>libertad restringida y más susceptible</w:t>
      </w:r>
      <w:r w:rsidR="00655070">
        <w:rPr>
          <w:rFonts w:eastAsia="Calibri"/>
          <w:lang w:val="es-MX"/>
        </w:rPr>
        <w:t>s</w:t>
      </w:r>
      <w:r w:rsidR="00420A77">
        <w:rPr>
          <w:rFonts w:eastAsia="Calibri"/>
          <w:lang w:val="es-MX"/>
        </w:rPr>
        <w:t xml:space="preserve"> a la criminalización en contraste con la tercera generación y las s</w:t>
      </w:r>
      <w:r w:rsidR="006B6312">
        <w:rPr>
          <w:rFonts w:eastAsia="Calibri"/>
          <w:lang w:val="es-MX"/>
        </w:rPr>
        <w:t>iguientes</w:t>
      </w:r>
      <w:r w:rsidR="00260A46">
        <w:rPr>
          <w:rFonts w:eastAsia="Calibri"/>
          <w:lang w:val="es-MX"/>
        </w:rPr>
        <w:t>,</w:t>
      </w:r>
      <w:r w:rsidR="006B6312">
        <w:rPr>
          <w:rFonts w:eastAsia="Calibri"/>
          <w:lang w:val="es-MX"/>
        </w:rPr>
        <w:t xml:space="preserve"> ya que están sujeta</w:t>
      </w:r>
      <w:r w:rsidR="00655070">
        <w:rPr>
          <w:rFonts w:eastAsia="Calibri"/>
          <w:lang w:val="es-MX"/>
        </w:rPr>
        <w:t xml:space="preserve">s </w:t>
      </w:r>
      <w:r w:rsidR="002F1E2C">
        <w:rPr>
          <w:rFonts w:eastAsia="Calibri"/>
          <w:lang w:val="es-MX"/>
        </w:rPr>
        <w:t xml:space="preserve">a </w:t>
      </w:r>
      <w:r w:rsidR="00655070">
        <w:rPr>
          <w:rFonts w:eastAsia="Calibri"/>
          <w:lang w:val="es-MX"/>
        </w:rPr>
        <w:t xml:space="preserve">niveles intensificados de vigilancia. </w:t>
      </w:r>
      <w:r w:rsidR="00274661">
        <w:rPr>
          <w:rFonts w:eastAsia="Calibri"/>
          <w:lang w:val="es-MX"/>
        </w:rPr>
        <w:t>S</w:t>
      </w:r>
      <w:r w:rsidR="00420A77">
        <w:rPr>
          <w:rFonts w:eastAsia="Calibri"/>
          <w:lang w:val="es-MX"/>
        </w:rPr>
        <w:t>egunda, en cuanto a la vigilancia policiaca,</w:t>
      </w:r>
      <w:r w:rsidR="00655070">
        <w:rPr>
          <w:rFonts w:eastAsia="Calibri"/>
          <w:lang w:val="es-MX"/>
        </w:rPr>
        <w:t xml:space="preserve"> surgen</w:t>
      </w:r>
      <w:r w:rsidR="00420A77">
        <w:rPr>
          <w:rFonts w:eastAsia="Calibri"/>
          <w:lang w:val="es-MX"/>
        </w:rPr>
        <w:t xml:space="preserve"> las preguntas </w:t>
      </w:r>
      <w:r w:rsidR="00655070">
        <w:rPr>
          <w:rFonts w:eastAsia="Calibri"/>
          <w:lang w:val="es-MX"/>
        </w:rPr>
        <w:t>sobre las</w:t>
      </w:r>
      <w:r w:rsidR="00420A77">
        <w:rPr>
          <w:rFonts w:eastAsia="Calibri"/>
          <w:lang w:val="es-MX"/>
        </w:rPr>
        <w:t xml:space="preserve"> implicaciones de elaboración de</w:t>
      </w:r>
      <w:r w:rsidR="002F1E2C">
        <w:rPr>
          <w:rFonts w:eastAsia="Calibri"/>
          <w:lang w:val="es-MX"/>
        </w:rPr>
        <w:t>l</w:t>
      </w:r>
      <w:r w:rsidR="00420A77">
        <w:rPr>
          <w:rFonts w:eastAsia="Calibri"/>
          <w:lang w:val="es-MX"/>
        </w:rPr>
        <w:t xml:space="preserve"> perfil</w:t>
      </w:r>
      <w:r w:rsidR="00655070">
        <w:rPr>
          <w:rFonts w:eastAsia="Calibri"/>
          <w:lang w:val="es-MX"/>
        </w:rPr>
        <w:t xml:space="preserve"> de ciudadanía  para</w:t>
      </w:r>
      <w:r w:rsidR="00420A77">
        <w:rPr>
          <w:rFonts w:eastAsia="Calibri"/>
          <w:lang w:val="es-MX"/>
        </w:rPr>
        <w:t xml:space="preserve"> vigilancia</w:t>
      </w:r>
      <w:r w:rsidR="00655070">
        <w:rPr>
          <w:rFonts w:eastAsia="Calibri"/>
          <w:lang w:val="es-MX"/>
        </w:rPr>
        <w:t xml:space="preserve"> comunitaria que </w:t>
      </w:r>
      <w:r w:rsidR="00420A77">
        <w:rPr>
          <w:rFonts w:eastAsia="Calibri"/>
          <w:lang w:val="es-MX"/>
        </w:rPr>
        <w:t xml:space="preserve">involucra la protección y colaboración de todos los residentes incluyendo a los inmigrantes. Tercera, </w:t>
      </w:r>
      <w:r w:rsidR="00655070">
        <w:rPr>
          <w:rFonts w:eastAsia="Calibri"/>
          <w:lang w:val="es-MX"/>
        </w:rPr>
        <w:t xml:space="preserve">dado que esa </w:t>
      </w:r>
      <w:r w:rsidR="00420A77">
        <w:rPr>
          <w:rFonts w:eastAsia="Calibri"/>
          <w:lang w:val="es-MX"/>
        </w:rPr>
        <w:t xml:space="preserve">primera generación </w:t>
      </w:r>
      <w:r w:rsidR="00655070">
        <w:rPr>
          <w:rFonts w:eastAsia="Calibri"/>
          <w:lang w:val="es-MX"/>
        </w:rPr>
        <w:t xml:space="preserve">está sujeta de manera desproporcionada al perfil de ciudadanía </w:t>
      </w:r>
      <w:r w:rsidR="00274661">
        <w:rPr>
          <w:rFonts w:eastAsia="Calibri"/>
          <w:lang w:val="es-MX"/>
        </w:rPr>
        <w:t xml:space="preserve">y </w:t>
      </w:r>
      <w:r w:rsidR="00655070">
        <w:rPr>
          <w:rFonts w:eastAsia="Calibri"/>
          <w:lang w:val="es-MX"/>
        </w:rPr>
        <w:t>que entre ellos hay inmigrantes indocumentados, es importante evaluar los procedimientos de vigilancia sobre qué tipo de i</w:t>
      </w:r>
      <w:r w:rsidR="006B6312">
        <w:rPr>
          <w:rFonts w:eastAsia="Calibri"/>
          <w:lang w:val="es-MX"/>
        </w:rPr>
        <w:t>dentificaciones</w:t>
      </w:r>
      <w:r w:rsidR="002F1E2C">
        <w:rPr>
          <w:rFonts w:eastAsia="Calibri"/>
          <w:lang w:val="es-MX"/>
        </w:rPr>
        <w:t xml:space="preserve"> son aceptadas y </w:t>
      </w:r>
      <w:r w:rsidR="00655070" w:rsidRPr="00CC539C">
        <w:rPr>
          <w:rFonts w:eastAsia="Calibri"/>
          <w:lang w:val="es-MX"/>
        </w:rPr>
        <w:t>considerar</w:t>
      </w:r>
      <w:r w:rsidR="00CC539C">
        <w:rPr>
          <w:rFonts w:eastAsia="Calibri"/>
          <w:lang w:val="es-MX"/>
        </w:rPr>
        <w:t xml:space="preserve"> </w:t>
      </w:r>
      <w:r w:rsidR="00655070" w:rsidRPr="00CC539C">
        <w:rPr>
          <w:rFonts w:eastAsia="Calibri"/>
          <w:lang w:val="es-MX"/>
        </w:rPr>
        <w:t xml:space="preserve">las consecuencias de un arresto que </w:t>
      </w:r>
      <w:r w:rsidR="00655070">
        <w:rPr>
          <w:rFonts w:eastAsia="Calibri"/>
          <w:lang w:val="es-MX"/>
        </w:rPr>
        <w:t xml:space="preserve">pueden llevar a una deportación. </w:t>
      </w:r>
    </w:p>
    <w:p w14:paraId="02D45961" w14:textId="4C96E5C0" w:rsidR="00420A77" w:rsidRPr="00584175" w:rsidRDefault="006B6312" w:rsidP="00F0717A">
      <w:pPr>
        <w:spacing w:line="480" w:lineRule="auto"/>
        <w:ind w:firstLine="720"/>
        <w:jc w:val="both"/>
        <w:rPr>
          <w:rFonts w:eastAsia="Calibri"/>
          <w:lang w:val="es-MX"/>
        </w:rPr>
      </w:pPr>
      <w:r>
        <w:rPr>
          <w:rFonts w:eastAsia="Calibri"/>
          <w:lang w:val="es-MX"/>
        </w:rPr>
        <w:t>Se tuvo acceso</w:t>
      </w:r>
      <w:r w:rsidR="000517A6">
        <w:rPr>
          <w:rFonts w:eastAsia="Calibri"/>
          <w:lang w:val="es-MX"/>
        </w:rPr>
        <w:t xml:space="preserve"> a l</w:t>
      </w:r>
      <w:r w:rsidR="00420A77">
        <w:rPr>
          <w:rFonts w:eastAsia="Calibri"/>
          <w:lang w:val="es-MX"/>
        </w:rPr>
        <w:t>os efectos de los factores de</w:t>
      </w:r>
      <w:r w:rsidR="00655070">
        <w:rPr>
          <w:rFonts w:eastAsia="Calibri"/>
          <w:lang w:val="es-MX"/>
        </w:rPr>
        <w:t>l</w:t>
      </w:r>
      <w:r w:rsidR="00420A77">
        <w:rPr>
          <w:rFonts w:eastAsia="Calibri"/>
          <w:lang w:val="es-MX"/>
        </w:rPr>
        <w:t xml:space="preserve"> nivel de</w:t>
      </w:r>
      <w:r w:rsidR="00655070">
        <w:rPr>
          <w:rFonts w:eastAsia="Calibri"/>
          <w:lang w:val="es-MX"/>
        </w:rPr>
        <w:t xml:space="preserve"> </w:t>
      </w:r>
      <w:r w:rsidR="000517A6">
        <w:rPr>
          <w:rFonts w:eastAsia="Calibri"/>
          <w:lang w:val="es-MX"/>
        </w:rPr>
        <w:t xml:space="preserve">pobreza del </w:t>
      </w:r>
      <w:r w:rsidR="00655070">
        <w:rPr>
          <w:rFonts w:eastAsia="Calibri"/>
          <w:lang w:val="es-MX"/>
        </w:rPr>
        <w:t xml:space="preserve">vecindario </w:t>
      </w:r>
      <w:r w:rsidR="000517A6">
        <w:rPr>
          <w:rFonts w:eastAsia="Calibri"/>
          <w:lang w:val="es-MX"/>
        </w:rPr>
        <w:t>y</w:t>
      </w:r>
      <w:r w:rsidR="00655070">
        <w:rPr>
          <w:rFonts w:eastAsia="Calibri"/>
          <w:lang w:val="es-MX"/>
        </w:rPr>
        <w:t xml:space="preserve"> nivel de </w:t>
      </w:r>
      <w:r>
        <w:rPr>
          <w:rFonts w:eastAsia="Calibri"/>
          <w:lang w:val="es-MX"/>
        </w:rPr>
        <w:t>enclavismo</w:t>
      </w:r>
      <w:r w:rsidR="00655070">
        <w:rPr>
          <w:rFonts w:eastAsia="Calibri"/>
          <w:lang w:val="es-MX"/>
        </w:rPr>
        <w:t xml:space="preserve"> de ser cuestionado sobre su estatus de </w:t>
      </w:r>
      <w:r w:rsidR="0080466F">
        <w:rPr>
          <w:rFonts w:eastAsia="Calibri"/>
          <w:lang w:val="es-MX"/>
        </w:rPr>
        <w:t>ciudadanía</w:t>
      </w:r>
      <w:r w:rsidR="00655070">
        <w:rPr>
          <w:rFonts w:eastAsia="Calibri"/>
          <w:lang w:val="es-MX"/>
        </w:rPr>
        <w:t xml:space="preserve">. </w:t>
      </w:r>
      <w:r w:rsidR="00260A46">
        <w:rPr>
          <w:rFonts w:eastAsia="Calibri"/>
          <w:lang w:val="es-MX"/>
        </w:rPr>
        <w:t xml:space="preserve">Es mas probable </w:t>
      </w:r>
      <w:r w:rsidR="00655070">
        <w:rPr>
          <w:rFonts w:eastAsia="Calibri"/>
          <w:lang w:val="es-MX"/>
        </w:rPr>
        <w:t>que</w:t>
      </w:r>
      <w:r w:rsidR="00260A46">
        <w:rPr>
          <w:rFonts w:eastAsia="Calibri"/>
          <w:lang w:val="es-MX"/>
        </w:rPr>
        <w:t xml:space="preserve"> los </w:t>
      </w:r>
      <w:r w:rsidR="00655070">
        <w:rPr>
          <w:rFonts w:eastAsia="Calibri"/>
          <w:lang w:val="es-MX"/>
        </w:rPr>
        <w:t xml:space="preserve">residentes en vecindarios pobres sean cuestionados sobre su </w:t>
      </w:r>
      <w:r w:rsidR="0080466F">
        <w:rPr>
          <w:rFonts w:eastAsia="Calibri"/>
          <w:lang w:val="es-MX"/>
        </w:rPr>
        <w:t>estatus</w:t>
      </w:r>
      <w:r w:rsidR="00655070">
        <w:rPr>
          <w:rFonts w:eastAsia="Calibri"/>
          <w:lang w:val="es-MX"/>
        </w:rPr>
        <w:t xml:space="preserve"> de </w:t>
      </w:r>
      <w:r w:rsidR="0080466F">
        <w:rPr>
          <w:rFonts w:eastAsia="Calibri"/>
          <w:lang w:val="es-MX"/>
        </w:rPr>
        <w:t>ciudadanía</w:t>
      </w:r>
      <w:r w:rsidR="00655070">
        <w:rPr>
          <w:rFonts w:eastAsia="Calibri"/>
          <w:lang w:val="es-MX"/>
        </w:rPr>
        <w:t xml:space="preserve"> por las agencias policiacas. </w:t>
      </w:r>
      <w:r w:rsidR="00420A77">
        <w:rPr>
          <w:rFonts w:eastAsia="Calibri"/>
          <w:lang w:val="es-MX"/>
        </w:rPr>
        <w:t xml:space="preserve"> De esta manera, la importancia de la pobreza y los niveles aumentados de vigilancia policiaca también </w:t>
      </w:r>
      <w:r w:rsidR="00CC539C">
        <w:rPr>
          <w:rFonts w:eastAsia="Calibri"/>
          <w:lang w:val="es-MX"/>
        </w:rPr>
        <w:t xml:space="preserve">se consideran para el </w:t>
      </w:r>
      <w:r>
        <w:rPr>
          <w:rFonts w:eastAsia="Calibri"/>
          <w:lang w:val="es-MX"/>
        </w:rPr>
        <w:t xml:space="preserve">tema de </w:t>
      </w:r>
      <w:r w:rsidR="0080466F">
        <w:rPr>
          <w:rFonts w:eastAsia="Calibri"/>
          <w:lang w:val="es-MX"/>
        </w:rPr>
        <w:t>elaboración</w:t>
      </w:r>
      <w:r w:rsidR="000517A6">
        <w:rPr>
          <w:rFonts w:eastAsia="Calibri"/>
          <w:lang w:val="es-MX"/>
        </w:rPr>
        <w:t xml:space="preserve"> de perfiles de ciudadanía</w:t>
      </w:r>
      <w:r w:rsidR="00655070">
        <w:rPr>
          <w:rFonts w:eastAsia="Calibri"/>
          <w:lang w:val="es-MX"/>
        </w:rPr>
        <w:t xml:space="preserve">. Para tener acceso al impacto del nivel del vecindario de los enclaves étnicos, </w:t>
      </w:r>
      <w:r w:rsidR="00420A77">
        <w:rPr>
          <w:rFonts w:eastAsia="Calibri"/>
          <w:lang w:val="es-MX"/>
        </w:rPr>
        <w:t>utilizamos un conj</w:t>
      </w:r>
      <w:r w:rsidR="0080466F">
        <w:rPr>
          <w:rFonts w:eastAsia="Calibri"/>
          <w:lang w:val="es-MX"/>
        </w:rPr>
        <w:t>unto de indicadores que se basan en una</w:t>
      </w:r>
      <w:r w:rsidR="00420A77">
        <w:rPr>
          <w:rFonts w:eastAsia="Calibri"/>
          <w:lang w:val="es-MX"/>
        </w:rPr>
        <w:t xml:space="preserve"> encuesta y en datos de </w:t>
      </w:r>
      <w:r w:rsidR="0080466F">
        <w:rPr>
          <w:rFonts w:eastAsia="Calibri"/>
          <w:lang w:val="es-MX"/>
        </w:rPr>
        <w:t xml:space="preserve">la </w:t>
      </w:r>
      <w:r w:rsidR="00420A77">
        <w:rPr>
          <w:rFonts w:eastAsia="Calibri"/>
          <w:lang w:val="es-MX"/>
        </w:rPr>
        <w:t xml:space="preserve">encuesta </w:t>
      </w:r>
      <w:r w:rsidR="0080466F">
        <w:rPr>
          <w:rFonts w:eastAsia="Calibri"/>
          <w:lang w:val="es-MX"/>
        </w:rPr>
        <w:t>comunitaria norte</w:t>
      </w:r>
      <w:r w:rsidR="00420A77">
        <w:rPr>
          <w:rFonts w:eastAsia="Calibri"/>
          <w:lang w:val="es-MX"/>
        </w:rPr>
        <w:t xml:space="preserve">americana </w:t>
      </w:r>
      <w:r w:rsidR="0080466F">
        <w:rPr>
          <w:rFonts w:eastAsia="Calibri"/>
          <w:lang w:val="es-MX"/>
        </w:rPr>
        <w:t>sobre el transnacionalism</w:t>
      </w:r>
      <w:r w:rsidR="00CC539C">
        <w:rPr>
          <w:rFonts w:eastAsia="Calibri"/>
          <w:lang w:val="es-MX"/>
        </w:rPr>
        <w:t>o (encuesta), la aculturación a</w:t>
      </w:r>
      <w:r w:rsidR="0080466F">
        <w:rPr>
          <w:rFonts w:eastAsia="Calibri"/>
          <w:lang w:val="es-MX"/>
        </w:rPr>
        <w:t xml:space="preserve"> México </w:t>
      </w:r>
      <w:r w:rsidR="00420A77">
        <w:rPr>
          <w:rFonts w:eastAsia="Calibri"/>
          <w:lang w:val="es-MX"/>
        </w:rPr>
        <w:t xml:space="preserve">(encuesta), </w:t>
      </w:r>
      <w:r w:rsidR="00CC539C">
        <w:rPr>
          <w:lang w:val="es-MX"/>
        </w:rPr>
        <w:t xml:space="preserve">porcentaje de nacidos en el extranjero,  porcentaje de nacidos en el extranjero que no estén naturalizados (ACS), trasnacionales, porcentaje del español monolingüe en casa (ACS) y el porcentaje de origen-mexicano (ACS). </w:t>
      </w:r>
      <w:r w:rsidR="00420A77">
        <w:rPr>
          <w:rFonts w:eastAsia="Calibri"/>
          <w:lang w:val="es-MX"/>
        </w:rPr>
        <w:t xml:space="preserve">Encontramos que </w:t>
      </w:r>
      <w:r w:rsidR="00F83D61">
        <w:rPr>
          <w:rFonts w:eastAsia="Calibri"/>
          <w:lang w:val="es-MX"/>
        </w:rPr>
        <w:t>aquellas personas que viven</w:t>
      </w:r>
      <w:r w:rsidR="0080466F">
        <w:rPr>
          <w:rFonts w:eastAsia="Calibri"/>
          <w:lang w:val="es-MX"/>
        </w:rPr>
        <w:t xml:space="preserve"> en vecindarios de enclave</w:t>
      </w:r>
      <w:r w:rsidR="00F83D61">
        <w:rPr>
          <w:rFonts w:eastAsia="Calibri"/>
          <w:lang w:val="es-MX"/>
        </w:rPr>
        <w:t xml:space="preserve"> </w:t>
      </w:r>
      <w:r w:rsidR="00CC539C">
        <w:rPr>
          <w:rFonts w:eastAsia="Calibri"/>
          <w:lang w:val="es-MX"/>
        </w:rPr>
        <w:t xml:space="preserve">alto </w:t>
      </w:r>
      <w:r w:rsidR="00F83D61">
        <w:rPr>
          <w:rFonts w:eastAsia="Calibri"/>
          <w:lang w:val="es-MX"/>
        </w:rPr>
        <w:t>están más propensas a ser cuestionadas por la</w:t>
      </w:r>
      <w:r w:rsidR="00A55828">
        <w:rPr>
          <w:rFonts w:eastAsia="Calibri"/>
          <w:lang w:val="es-MX"/>
        </w:rPr>
        <w:t>s</w:t>
      </w:r>
      <w:r w:rsidR="00F83D61">
        <w:rPr>
          <w:rFonts w:eastAsia="Calibri"/>
          <w:lang w:val="es-MX"/>
        </w:rPr>
        <w:t xml:space="preserve"> agencias policiacas sobre su estatus de ciudadanía que </w:t>
      </w:r>
      <w:r w:rsidR="00CC539C">
        <w:rPr>
          <w:rFonts w:eastAsia="Calibri"/>
          <w:lang w:val="es-MX"/>
        </w:rPr>
        <w:t xml:space="preserve">quienes </w:t>
      </w:r>
      <w:r w:rsidR="00F83D61">
        <w:rPr>
          <w:rFonts w:eastAsia="Calibri"/>
          <w:lang w:val="es-MX"/>
        </w:rPr>
        <w:t>viven en vecindarios de enclave</w:t>
      </w:r>
      <w:r w:rsidR="00CC539C">
        <w:rPr>
          <w:rFonts w:eastAsia="Calibri"/>
          <w:lang w:val="es-MX"/>
        </w:rPr>
        <w:t xml:space="preserve"> alto</w:t>
      </w:r>
      <w:r w:rsidR="0080466F">
        <w:rPr>
          <w:rFonts w:eastAsia="Calibri"/>
          <w:lang w:val="es-MX"/>
        </w:rPr>
        <w:t xml:space="preserve">. </w:t>
      </w:r>
      <w:r w:rsidR="00420A77">
        <w:rPr>
          <w:rFonts w:eastAsia="Calibri"/>
          <w:lang w:val="es-MX"/>
        </w:rPr>
        <w:t xml:space="preserve">Esto </w:t>
      </w:r>
      <w:r w:rsidR="00F83D61">
        <w:rPr>
          <w:rFonts w:eastAsia="Calibri"/>
          <w:lang w:val="es-MX"/>
        </w:rPr>
        <w:t xml:space="preserve">aumentó </w:t>
      </w:r>
      <w:r w:rsidR="00420A77">
        <w:rPr>
          <w:rFonts w:eastAsia="Calibri"/>
          <w:lang w:val="es-MX"/>
        </w:rPr>
        <w:t>nuestro conocimiento de</w:t>
      </w:r>
      <w:r w:rsidR="0080466F">
        <w:rPr>
          <w:rFonts w:eastAsia="Calibri"/>
          <w:lang w:val="es-MX"/>
        </w:rPr>
        <w:t xml:space="preserve"> los</w:t>
      </w:r>
      <w:r w:rsidR="00420A77">
        <w:rPr>
          <w:rFonts w:eastAsia="Calibri"/>
          <w:lang w:val="es-MX"/>
        </w:rPr>
        <w:t xml:space="preserve"> </w:t>
      </w:r>
      <w:r w:rsidR="00420A77">
        <w:rPr>
          <w:rFonts w:eastAsia="Calibri"/>
          <w:lang w:val="es-MX"/>
        </w:rPr>
        <w:lastRenderedPageBreak/>
        <w:t>enclaves étnico</w:t>
      </w:r>
      <w:r w:rsidR="0080466F">
        <w:rPr>
          <w:rFonts w:eastAsia="Calibri"/>
          <w:lang w:val="es-MX"/>
        </w:rPr>
        <w:t>s</w:t>
      </w:r>
      <w:r w:rsidR="00420A77">
        <w:rPr>
          <w:rFonts w:eastAsia="Calibri"/>
          <w:lang w:val="es-MX"/>
        </w:rPr>
        <w:t xml:space="preserve"> </w:t>
      </w:r>
      <w:r w:rsidR="0080466F">
        <w:rPr>
          <w:rFonts w:eastAsia="Calibri"/>
          <w:lang w:val="es-MX"/>
        </w:rPr>
        <w:t>en un par de maneras. Primero</w:t>
      </w:r>
      <w:r w:rsidR="00F83D61">
        <w:rPr>
          <w:rFonts w:eastAsia="Calibri"/>
          <w:lang w:val="es-MX"/>
        </w:rPr>
        <w:t>,</w:t>
      </w:r>
      <w:r w:rsidR="0080466F">
        <w:rPr>
          <w:rFonts w:eastAsia="Calibri"/>
          <w:lang w:val="es-MX"/>
        </w:rPr>
        <w:t xml:space="preserve"> el concepto del enclave étnico ha sido estudiado</w:t>
      </w:r>
      <w:r w:rsidR="00420A77">
        <w:rPr>
          <w:rFonts w:eastAsia="Calibri"/>
          <w:lang w:val="es-MX"/>
        </w:rPr>
        <w:t xml:space="preserve"> ampliamente por </w:t>
      </w:r>
      <w:r w:rsidR="0080466F">
        <w:rPr>
          <w:rFonts w:eastAsia="Calibri"/>
          <w:lang w:val="es-MX"/>
        </w:rPr>
        <w:t xml:space="preserve">sus implicaciones económicas </w:t>
      </w:r>
      <w:r w:rsidR="00F83D61">
        <w:rPr>
          <w:rFonts w:eastAsia="Calibri"/>
          <w:lang w:val="es-MX"/>
        </w:rPr>
        <w:t xml:space="preserve">y </w:t>
      </w:r>
      <w:r w:rsidR="00CC539C">
        <w:rPr>
          <w:rFonts w:eastAsia="Calibri"/>
          <w:lang w:val="es-MX"/>
        </w:rPr>
        <w:t xml:space="preserve">encontramos </w:t>
      </w:r>
      <w:r w:rsidR="0080466F">
        <w:rPr>
          <w:rFonts w:eastAsia="Calibri"/>
          <w:lang w:val="es-MX"/>
        </w:rPr>
        <w:t>que también influye en la vigilancia de</w:t>
      </w:r>
      <w:r w:rsidR="00CC539C">
        <w:rPr>
          <w:rFonts w:eastAsia="Calibri"/>
          <w:lang w:val="es-MX"/>
        </w:rPr>
        <w:t xml:space="preserve"> sus residentes. Segundo</w:t>
      </w:r>
      <w:r w:rsidR="0080466F">
        <w:rPr>
          <w:rFonts w:eastAsia="Calibri"/>
          <w:lang w:val="es-MX"/>
        </w:rPr>
        <w:t>, encontramos que el impacto de los</w:t>
      </w:r>
      <w:r w:rsidR="00F83D61">
        <w:rPr>
          <w:rFonts w:eastAsia="Calibri"/>
          <w:lang w:val="es-MX"/>
        </w:rPr>
        <w:t xml:space="preserve"> enclaves étnicos no es lineal</w:t>
      </w:r>
      <w:r w:rsidR="0080466F">
        <w:rPr>
          <w:rFonts w:eastAsia="Calibri"/>
          <w:lang w:val="es-MX"/>
        </w:rPr>
        <w:t xml:space="preserve"> cuando se trata de </w:t>
      </w:r>
      <w:r w:rsidR="00F83D61">
        <w:rPr>
          <w:rFonts w:eastAsia="Calibri"/>
          <w:lang w:val="es-MX"/>
        </w:rPr>
        <w:t xml:space="preserve">la </w:t>
      </w:r>
      <w:r w:rsidR="0080466F">
        <w:rPr>
          <w:rFonts w:eastAsia="Calibri"/>
          <w:lang w:val="es-MX"/>
        </w:rPr>
        <w:t>vigilancia. A la par</w:t>
      </w:r>
      <w:r w:rsidR="00F83D61">
        <w:rPr>
          <w:rFonts w:eastAsia="Calibri"/>
          <w:lang w:val="es-MX"/>
        </w:rPr>
        <w:t>,</w:t>
      </w:r>
      <w:r w:rsidR="0080466F">
        <w:rPr>
          <w:rFonts w:eastAsia="Calibri"/>
          <w:lang w:val="es-MX"/>
        </w:rPr>
        <w:t xml:space="preserve"> </w:t>
      </w:r>
      <w:r w:rsidR="00CC539C">
        <w:rPr>
          <w:rFonts w:eastAsia="Calibri"/>
          <w:lang w:val="es-MX"/>
        </w:rPr>
        <w:t xml:space="preserve">con </w:t>
      </w:r>
      <w:r w:rsidR="0080466F">
        <w:rPr>
          <w:rFonts w:eastAsia="Calibri"/>
          <w:lang w:val="es-MX"/>
        </w:rPr>
        <w:t xml:space="preserve">la información de los enclaves </w:t>
      </w:r>
      <w:r w:rsidR="00CC539C">
        <w:rPr>
          <w:rFonts w:eastAsia="Calibri"/>
          <w:lang w:val="es-MX"/>
        </w:rPr>
        <w:t>étnicos que describieron</w:t>
      </w:r>
      <w:r w:rsidR="00A55828">
        <w:rPr>
          <w:rFonts w:eastAsia="Calibri"/>
          <w:lang w:val="es-MX"/>
        </w:rPr>
        <w:t xml:space="preserve"> este</w:t>
      </w:r>
      <w:r w:rsidR="0080466F">
        <w:rPr>
          <w:rFonts w:eastAsia="Calibri"/>
          <w:lang w:val="es-MX"/>
        </w:rPr>
        <w:t xml:space="preserve"> grupos de vecindarios como </w:t>
      </w:r>
      <w:r w:rsidR="00420A77">
        <w:rPr>
          <w:rFonts w:eastAsia="Calibri"/>
          <w:lang w:val="es-MX"/>
        </w:rPr>
        <w:t xml:space="preserve"> </w:t>
      </w:r>
      <w:r w:rsidR="00584175">
        <w:rPr>
          <w:rFonts w:eastAsia="Calibri"/>
          <w:lang w:val="es-MX"/>
        </w:rPr>
        <w:t xml:space="preserve">protectores </w:t>
      </w:r>
      <w:r w:rsidR="00781D5E">
        <w:rPr>
          <w:rFonts w:eastAsia="Calibri"/>
          <w:lang w:val="es-MX"/>
        </w:rPr>
        <w:t>(Por ej</w:t>
      </w:r>
      <w:r w:rsidR="00584175" w:rsidRPr="00584175">
        <w:rPr>
          <w:rFonts w:eastAsia="Calibri"/>
          <w:lang w:val="es-MX"/>
        </w:rPr>
        <w:t>. Portes and Bach 1985; Zhou 1992),</w:t>
      </w:r>
      <w:r w:rsidR="00584175">
        <w:rPr>
          <w:rFonts w:eastAsia="Calibri"/>
          <w:lang w:val="es-MX"/>
        </w:rPr>
        <w:t xml:space="preserve"> </w:t>
      </w:r>
      <w:r w:rsidR="0080466F">
        <w:rPr>
          <w:rFonts w:eastAsia="Calibri"/>
          <w:lang w:val="es-MX"/>
        </w:rPr>
        <w:t>los residentes en los</w:t>
      </w:r>
      <w:r w:rsidR="00584175">
        <w:rPr>
          <w:rFonts w:eastAsia="Calibri"/>
          <w:lang w:val="es-MX"/>
        </w:rPr>
        <w:t xml:space="preserve"> vecindarios de </w:t>
      </w:r>
      <w:r w:rsidR="00F83D61">
        <w:rPr>
          <w:rFonts w:eastAsia="Calibri"/>
          <w:lang w:val="es-MX"/>
        </w:rPr>
        <w:t>alto enclave</w:t>
      </w:r>
      <w:r w:rsidR="0080466F">
        <w:rPr>
          <w:rFonts w:eastAsia="Calibri"/>
          <w:lang w:val="es-MX"/>
        </w:rPr>
        <w:t xml:space="preserve"> </w:t>
      </w:r>
      <w:r w:rsidR="00781D5E">
        <w:rPr>
          <w:rFonts w:eastAsia="Calibri"/>
          <w:lang w:val="es-MX"/>
        </w:rPr>
        <w:t xml:space="preserve">tienen menos probabilidades de que se les cuestione </w:t>
      </w:r>
      <w:r w:rsidR="0080466F">
        <w:rPr>
          <w:rFonts w:eastAsia="Calibri"/>
          <w:lang w:val="es-MX"/>
        </w:rPr>
        <w:t xml:space="preserve">su estatus ciudadano que aquellos que </w:t>
      </w:r>
      <w:r w:rsidR="0058418D">
        <w:rPr>
          <w:rFonts w:eastAsia="Calibri"/>
          <w:lang w:val="es-MX"/>
        </w:rPr>
        <w:t>habitan</w:t>
      </w:r>
      <w:r w:rsidR="0080466F">
        <w:rPr>
          <w:rFonts w:eastAsia="Calibri"/>
          <w:lang w:val="es-MX"/>
        </w:rPr>
        <w:t xml:space="preserve"> en los vecindarios que </w:t>
      </w:r>
      <w:r w:rsidR="0058418D">
        <w:rPr>
          <w:rFonts w:eastAsia="Calibri"/>
          <w:lang w:val="es-MX"/>
        </w:rPr>
        <w:t>muestran</w:t>
      </w:r>
      <w:r w:rsidR="0080466F">
        <w:rPr>
          <w:rFonts w:eastAsia="Calibri"/>
          <w:lang w:val="es-MX"/>
        </w:rPr>
        <w:t xml:space="preserve"> menos características de enclave </w:t>
      </w:r>
      <w:r w:rsidR="00584175">
        <w:rPr>
          <w:rFonts w:eastAsia="Calibri"/>
          <w:lang w:val="es-MX"/>
        </w:rPr>
        <w:t xml:space="preserve">(nivel-medio de </w:t>
      </w:r>
      <w:r w:rsidR="00A55828">
        <w:rPr>
          <w:rFonts w:eastAsia="Calibri"/>
          <w:lang w:val="es-MX"/>
        </w:rPr>
        <w:t>en</w:t>
      </w:r>
      <w:r w:rsidR="0058418D">
        <w:rPr>
          <w:rFonts w:eastAsia="Calibri"/>
          <w:lang w:val="es-MX"/>
        </w:rPr>
        <w:t>clavismo</w:t>
      </w:r>
      <w:r w:rsidR="00584175">
        <w:rPr>
          <w:rFonts w:eastAsia="Calibri"/>
          <w:lang w:val="es-MX"/>
        </w:rPr>
        <w:t>)</w:t>
      </w:r>
      <w:r w:rsidR="00F83D61">
        <w:rPr>
          <w:rFonts w:eastAsia="Calibri"/>
          <w:lang w:val="es-MX"/>
        </w:rPr>
        <w:t>.</w:t>
      </w:r>
      <w:r w:rsidR="00584175">
        <w:rPr>
          <w:rFonts w:eastAsia="Calibri"/>
          <w:lang w:val="es-MX"/>
        </w:rPr>
        <w:t xml:space="preserve"> Sospechamos que</w:t>
      </w:r>
      <w:r w:rsidR="0058418D">
        <w:rPr>
          <w:rFonts w:eastAsia="Calibri"/>
          <w:lang w:val="es-MX"/>
        </w:rPr>
        <w:t xml:space="preserve"> quienes habitan en vecindarios </w:t>
      </w:r>
      <w:r w:rsidR="00781D5E">
        <w:rPr>
          <w:rFonts w:eastAsia="Calibri"/>
          <w:lang w:val="es-MX"/>
        </w:rPr>
        <w:t xml:space="preserve">de </w:t>
      </w:r>
      <w:r w:rsidR="0058418D">
        <w:rPr>
          <w:rFonts w:eastAsia="Calibri"/>
          <w:lang w:val="es-MX"/>
        </w:rPr>
        <w:t xml:space="preserve">enclave de nivel-medio </w:t>
      </w:r>
      <w:r w:rsidR="00781D5E">
        <w:rPr>
          <w:rFonts w:eastAsia="Calibri"/>
          <w:lang w:val="es-MX"/>
        </w:rPr>
        <w:t xml:space="preserve">tienen más probabilidades de que se les cuestione su estatus ciudadano </w:t>
      </w:r>
      <w:r w:rsidR="0058418D">
        <w:rPr>
          <w:rFonts w:eastAsia="Calibri"/>
          <w:lang w:val="es-MX"/>
        </w:rPr>
        <w:t xml:space="preserve">porque pueden estar más integrados a la ciudad y así más visibles y </w:t>
      </w:r>
      <w:r w:rsidR="00F83D61">
        <w:rPr>
          <w:rFonts w:eastAsia="Calibri"/>
          <w:lang w:val="es-MX"/>
        </w:rPr>
        <w:t xml:space="preserve">con </w:t>
      </w:r>
      <w:r w:rsidR="0058418D">
        <w:rPr>
          <w:rFonts w:eastAsia="Calibri"/>
          <w:lang w:val="es-MX"/>
        </w:rPr>
        <w:t xml:space="preserve">mayor movilidad en contraste con </w:t>
      </w:r>
      <w:r w:rsidR="00781D5E">
        <w:rPr>
          <w:rFonts w:eastAsia="Calibri"/>
          <w:lang w:val="es-MX"/>
        </w:rPr>
        <w:t xml:space="preserve">quienes </w:t>
      </w:r>
      <w:r w:rsidR="0058418D">
        <w:rPr>
          <w:rFonts w:eastAsia="Calibri"/>
          <w:lang w:val="es-MX"/>
        </w:rPr>
        <w:t>viven en vecindarios de enclave</w:t>
      </w:r>
      <w:r w:rsidR="00781D5E" w:rsidRPr="00781D5E">
        <w:rPr>
          <w:rFonts w:eastAsia="Calibri"/>
          <w:lang w:val="es-MX"/>
        </w:rPr>
        <w:t xml:space="preserve"> </w:t>
      </w:r>
      <w:r w:rsidR="00781D5E">
        <w:rPr>
          <w:rFonts w:eastAsia="Calibri"/>
          <w:lang w:val="es-MX"/>
        </w:rPr>
        <w:t>alto</w:t>
      </w:r>
      <w:r w:rsidR="0058418D">
        <w:rPr>
          <w:rFonts w:eastAsia="Calibri"/>
          <w:lang w:val="es-MX"/>
        </w:rPr>
        <w:t xml:space="preserve"> que pueden estar más segregados. </w:t>
      </w:r>
      <w:r w:rsidR="00260A46">
        <w:rPr>
          <w:rFonts w:eastAsia="Calibri"/>
          <w:lang w:val="es-MX"/>
        </w:rPr>
        <w:t xml:space="preserve"> Desafortunadamente, los limitantes en </w:t>
      </w:r>
      <w:r w:rsidR="0058418D">
        <w:rPr>
          <w:rFonts w:eastAsia="Calibri"/>
          <w:lang w:val="es-MX"/>
        </w:rPr>
        <w:t xml:space="preserve">la información no nos permiten probar esta teoría más a fondo. </w:t>
      </w:r>
      <w:r w:rsidR="00584175">
        <w:rPr>
          <w:rFonts w:eastAsia="Calibri"/>
          <w:lang w:val="es-MX"/>
        </w:rPr>
        <w:t xml:space="preserve"> </w:t>
      </w:r>
    </w:p>
    <w:p w14:paraId="419E3E64" w14:textId="721D65E6" w:rsidR="0058418D" w:rsidRDefault="003404B9" w:rsidP="00F0717A">
      <w:pPr>
        <w:spacing w:line="480" w:lineRule="auto"/>
        <w:jc w:val="both"/>
        <w:rPr>
          <w:rFonts w:eastAsia="Calibri"/>
          <w:lang w:val="es-MX"/>
        </w:rPr>
      </w:pPr>
      <w:r w:rsidRPr="0027739D">
        <w:rPr>
          <w:rFonts w:eastAsia="Calibri"/>
          <w:lang w:val="es-MX"/>
        </w:rPr>
        <w:tab/>
      </w:r>
      <w:r w:rsidR="00AB717E" w:rsidRPr="003C7701">
        <w:rPr>
          <w:rFonts w:eastAsia="Calibri"/>
          <w:lang w:val="es-MX"/>
        </w:rPr>
        <w:t xml:space="preserve"> </w:t>
      </w:r>
      <w:r w:rsidR="0058418D">
        <w:rPr>
          <w:rFonts w:eastAsia="Calibri"/>
          <w:lang w:val="es-MX"/>
        </w:rPr>
        <w:t xml:space="preserve">Por lo tanto, </w:t>
      </w:r>
      <w:r w:rsidR="00781D5E">
        <w:rPr>
          <w:rFonts w:eastAsia="Calibri"/>
          <w:lang w:val="es-MX"/>
        </w:rPr>
        <w:t xml:space="preserve">una </w:t>
      </w:r>
      <w:r w:rsidR="00F83D61">
        <w:rPr>
          <w:rFonts w:eastAsia="Calibri"/>
          <w:lang w:val="es-MX"/>
        </w:rPr>
        <w:t>de</w:t>
      </w:r>
      <w:r w:rsidR="0058418D">
        <w:rPr>
          <w:rFonts w:eastAsia="Calibri"/>
          <w:lang w:val="es-MX"/>
        </w:rPr>
        <w:t xml:space="preserve"> </w:t>
      </w:r>
      <w:r w:rsidR="00584175" w:rsidRPr="00584175">
        <w:rPr>
          <w:rFonts w:eastAsia="Calibri"/>
          <w:lang w:val="es-MX"/>
        </w:rPr>
        <w:t>las</w:t>
      </w:r>
      <w:r w:rsidR="0058418D">
        <w:rPr>
          <w:rFonts w:eastAsia="Calibri"/>
          <w:lang w:val="es-MX"/>
        </w:rPr>
        <w:t xml:space="preserve"> limitantes de este estudio es no tener información sobre dónde y los tipos de actividades en que </w:t>
      </w:r>
      <w:r w:rsidR="00781D5E">
        <w:rPr>
          <w:rFonts w:eastAsia="Calibri"/>
          <w:lang w:val="es-MX"/>
        </w:rPr>
        <w:t xml:space="preserve">estaban involucradas </w:t>
      </w:r>
      <w:r w:rsidR="0058418D">
        <w:rPr>
          <w:rFonts w:eastAsia="Calibri"/>
          <w:lang w:val="es-MX"/>
        </w:rPr>
        <w:t>las pe</w:t>
      </w:r>
      <w:r w:rsidR="00F83D61">
        <w:rPr>
          <w:rFonts w:eastAsia="Calibri"/>
          <w:lang w:val="es-MX"/>
        </w:rPr>
        <w:t>rsonas cuando fueran cuestionada</w:t>
      </w:r>
      <w:r w:rsidR="0058418D">
        <w:rPr>
          <w:rFonts w:eastAsia="Calibri"/>
          <w:lang w:val="es-MX"/>
        </w:rPr>
        <w:t>s por las agencias policiacas</w:t>
      </w:r>
      <w:r w:rsidR="00F83D61">
        <w:rPr>
          <w:rFonts w:eastAsia="Calibri"/>
          <w:lang w:val="es-MX"/>
        </w:rPr>
        <w:t>.</w:t>
      </w:r>
      <w:r w:rsidR="0058418D">
        <w:rPr>
          <w:rFonts w:eastAsia="Calibri"/>
          <w:lang w:val="es-MX"/>
        </w:rPr>
        <w:t xml:space="preserve"> Contar con esta información puede fortalecer nuestro análisis de los efectos del vecindario.</w:t>
      </w:r>
      <w:r w:rsidR="00A55828">
        <w:rPr>
          <w:rFonts w:eastAsia="Calibri"/>
          <w:lang w:val="es-MX"/>
        </w:rPr>
        <w:t xml:space="preserve"> Nos sabemos si</w:t>
      </w:r>
      <w:r w:rsidR="00F83D61">
        <w:rPr>
          <w:rFonts w:eastAsia="Calibri"/>
          <w:lang w:val="es-MX"/>
        </w:rPr>
        <w:t xml:space="preserve"> las personas fueron</w:t>
      </w:r>
      <w:r w:rsidR="0058418D">
        <w:rPr>
          <w:rFonts w:eastAsia="Calibri"/>
          <w:lang w:val="es-MX"/>
        </w:rPr>
        <w:t xml:space="preserve"> cu</w:t>
      </w:r>
      <w:r w:rsidR="00FB702D">
        <w:rPr>
          <w:rFonts w:eastAsia="Calibri"/>
          <w:lang w:val="es-MX"/>
        </w:rPr>
        <w:t>estionadas en sus vecindarios o</w:t>
      </w:r>
      <w:r w:rsidR="0058418D">
        <w:rPr>
          <w:rFonts w:eastAsia="Calibri"/>
          <w:lang w:val="es-MX"/>
        </w:rPr>
        <w:t xml:space="preserve"> en algún otro lugar, lo que sí sabemos es que donde </w:t>
      </w:r>
      <w:r w:rsidR="00FB702D">
        <w:rPr>
          <w:rFonts w:eastAsia="Calibri"/>
          <w:lang w:val="es-MX"/>
        </w:rPr>
        <w:t>sí</w:t>
      </w:r>
      <w:r w:rsidR="0058418D">
        <w:rPr>
          <w:rFonts w:eastAsia="Calibri"/>
          <w:lang w:val="es-MX"/>
        </w:rPr>
        <w:t xml:space="preserve"> importa</w:t>
      </w:r>
      <w:r w:rsidR="00720FD9" w:rsidRPr="00720FD9">
        <w:rPr>
          <w:rFonts w:eastAsia="Calibri"/>
          <w:lang w:val="es-MX"/>
        </w:rPr>
        <w:t xml:space="preserve"> </w:t>
      </w:r>
      <w:r w:rsidR="00720FD9">
        <w:rPr>
          <w:rFonts w:eastAsia="Calibri"/>
          <w:lang w:val="es-MX"/>
        </w:rPr>
        <w:t xml:space="preserve">usted viva </w:t>
      </w:r>
      <w:r w:rsidR="0058418D">
        <w:rPr>
          <w:rFonts w:eastAsia="Calibri"/>
          <w:lang w:val="es-MX"/>
        </w:rPr>
        <w:t xml:space="preserve"> </w:t>
      </w:r>
      <w:r w:rsidR="00720FD9">
        <w:rPr>
          <w:rFonts w:eastAsia="Calibri"/>
          <w:lang w:val="es-MX"/>
        </w:rPr>
        <w:t>y si existe una variación de</w:t>
      </w:r>
      <w:r w:rsidR="00F83D61">
        <w:rPr>
          <w:rFonts w:eastAsia="Calibri"/>
          <w:lang w:val="es-MX"/>
        </w:rPr>
        <w:t>l</w:t>
      </w:r>
      <w:r w:rsidR="00720FD9">
        <w:rPr>
          <w:rFonts w:eastAsia="Calibri"/>
          <w:lang w:val="es-MX"/>
        </w:rPr>
        <w:t xml:space="preserve"> vecindario sobre a quién va dirigido el cuestionamiento del estatus de ci</w:t>
      </w:r>
      <w:r w:rsidR="00F83D61">
        <w:rPr>
          <w:rFonts w:eastAsia="Calibri"/>
          <w:lang w:val="es-MX"/>
        </w:rPr>
        <w:t>udadaní</w:t>
      </w:r>
      <w:r w:rsidR="0058418D">
        <w:rPr>
          <w:rFonts w:eastAsia="Calibri"/>
          <w:lang w:val="es-MX"/>
        </w:rPr>
        <w:t xml:space="preserve">a. Otra </w:t>
      </w:r>
      <w:r w:rsidR="00F83D61">
        <w:rPr>
          <w:rFonts w:eastAsia="Calibri"/>
          <w:lang w:val="es-MX"/>
        </w:rPr>
        <w:t>limitante</w:t>
      </w:r>
      <w:r w:rsidR="0058418D">
        <w:rPr>
          <w:rFonts w:eastAsia="Calibri"/>
          <w:lang w:val="es-MX"/>
        </w:rPr>
        <w:t xml:space="preserve"> es no tener información precisa so</w:t>
      </w:r>
      <w:r w:rsidR="00F83D61">
        <w:rPr>
          <w:rFonts w:eastAsia="Calibri"/>
          <w:lang w:val="es-MX"/>
        </w:rPr>
        <w:t>bre el estatus de indocumentado</w:t>
      </w:r>
      <w:r w:rsidR="0058418D">
        <w:rPr>
          <w:rFonts w:eastAsia="Calibri"/>
          <w:lang w:val="es-MX"/>
        </w:rPr>
        <w:t xml:space="preserve">. Aunque intentamos captar el estatus de los indocumentados, no pudimos utilizar esta variable debido a falta de datos. </w:t>
      </w:r>
    </w:p>
    <w:p w14:paraId="408A3465" w14:textId="79ADC63E" w:rsidR="003C7701" w:rsidRPr="0055669E" w:rsidRDefault="00584175" w:rsidP="00F0717A">
      <w:pPr>
        <w:spacing w:line="480" w:lineRule="auto"/>
        <w:jc w:val="both"/>
        <w:rPr>
          <w:rFonts w:eastAsia="Calibri"/>
          <w:lang w:val="es-MX"/>
        </w:rPr>
      </w:pPr>
      <w:r w:rsidRPr="00584175">
        <w:rPr>
          <w:rFonts w:eastAsia="Calibri"/>
          <w:lang w:val="es-MX"/>
        </w:rPr>
        <w:t xml:space="preserve"> </w:t>
      </w:r>
      <w:r w:rsidR="00F83D61">
        <w:rPr>
          <w:rFonts w:eastAsia="Calibri"/>
          <w:lang w:val="es-MX"/>
        </w:rPr>
        <w:t xml:space="preserve">             </w:t>
      </w:r>
      <w:r w:rsidR="003C7701" w:rsidRPr="003C7701">
        <w:rPr>
          <w:rFonts w:eastAsia="Calibri"/>
          <w:lang w:val="es-MX"/>
        </w:rPr>
        <w:t xml:space="preserve">En resumen, nuestros datos principales fueron </w:t>
      </w:r>
      <w:r w:rsidR="0055669E" w:rsidRPr="003C7701">
        <w:rPr>
          <w:rFonts w:eastAsia="Calibri"/>
          <w:lang w:val="es-MX"/>
        </w:rPr>
        <w:t>diseñados</w:t>
      </w:r>
      <w:r w:rsidR="0058418D">
        <w:rPr>
          <w:rFonts w:eastAsia="Calibri"/>
          <w:lang w:val="es-MX"/>
        </w:rPr>
        <w:t xml:space="preserve"> para </w:t>
      </w:r>
      <w:r w:rsidR="0055669E" w:rsidRPr="003C7701">
        <w:rPr>
          <w:rFonts w:eastAsia="Calibri"/>
          <w:lang w:val="es-MX"/>
        </w:rPr>
        <w:t>conducir</w:t>
      </w:r>
      <w:r w:rsidR="003C7701" w:rsidRPr="003C7701">
        <w:rPr>
          <w:rFonts w:eastAsia="Calibri"/>
          <w:lang w:val="es-MX"/>
        </w:rPr>
        <w:t xml:space="preserve"> un </w:t>
      </w:r>
      <w:r w:rsidR="0055669E" w:rsidRPr="003C7701">
        <w:rPr>
          <w:rFonts w:eastAsia="Calibri"/>
          <w:lang w:val="es-MX"/>
        </w:rPr>
        <w:t>análisis</w:t>
      </w:r>
      <w:r w:rsidR="0058418D">
        <w:rPr>
          <w:rFonts w:eastAsia="Calibri"/>
          <w:lang w:val="es-MX"/>
        </w:rPr>
        <w:t xml:space="preserve"> multinivel sobre</w:t>
      </w:r>
      <w:r w:rsidR="003C7701" w:rsidRPr="003C7701">
        <w:rPr>
          <w:rFonts w:eastAsia="Calibri"/>
          <w:lang w:val="es-MX"/>
        </w:rPr>
        <w:t xml:space="preserve"> la </w:t>
      </w:r>
      <w:r w:rsidR="0055669E" w:rsidRPr="003C7701">
        <w:rPr>
          <w:rFonts w:eastAsia="Calibri"/>
          <w:lang w:val="es-MX"/>
        </w:rPr>
        <w:t>elaboración</w:t>
      </w:r>
      <w:r w:rsidR="003C7701" w:rsidRPr="003C7701">
        <w:rPr>
          <w:rFonts w:eastAsia="Calibri"/>
          <w:lang w:val="es-MX"/>
        </w:rPr>
        <w:t xml:space="preserve"> de perfiles de</w:t>
      </w:r>
      <w:r w:rsidR="0058418D">
        <w:rPr>
          <w:rFonts w:eastAsia="Calibri"/>
          <w:lang w:val="es-MX"/>
        </w:rPr>
        <w:t xml:space="preserve"> ciudadanía </w:t>
      </w:r>
      <w:r w:rsidR="00F83D61">
        <w:rPr>
          <w:rFonts w:eastAsia="Calibri"/>
          <w:lang w:val="es-MX"/>
        </w:rPr>
        <w:t xml:space="preserve">en la frontera </w:t>
      </w:r>
      <w:r w:rsidR="003C7701" w:rsidRPr="003C7701">
        <w:rPr>
          <w:rFonts w:eastAsia="Calibri"/>
          <w:lang w:val="es-MX"/>
        </w:rPr>
        <w:t>Estados Unidos</w:t>
      </w:r>
      <w:r w:rsidR="0058418D">
        <w:rPr>
          <w:rFonts w:eastAsia="Calibri"/>
          <w:lang w:val="es-MX"/>
        </w:rPr>
        <w:t>-</w:t>
      </w:r>
      <w:r w:rsidR="00627AAE">
        <w:rPr>
          <w:rFonts w:eastAsia="Calibri"/>
          <w:lang w:val="es-MX"/>
        </w:rPr>
        <w:t>México</w:t>
      </w:r>
      <w:r w:rsidR="003C7701" w:rsidRPr="003C7701">
        <w:rPr>
          <w:rFonts w:eastAsia="Calibri"/>
          <w:lang w:val="es-MX"/>
        </w:rPr>
        <w:t xml:space="preserve"> </w:t>
      </w:r>
      <w:r w:rsidR="003C7701" w:rsidRPr="003C7701">
        <w:rPr>
          <w:rFonts w:eastAsia="Calibri"/>
          <w:lang w:val="es-MX"/>
        </w:rPr>
        <w:lastRenderedPageBreak/>
        <w:t xml:space="preserve">que </w:t>
      </w:r>
      <w:r w:rsidR="0050210F">
        <w:rPr>
          <w:rFonts w:eastAsia="Calibri"/>
          <w:lang w:val="es-MX"/>
        </w:rPr>
        <w:t>permitió</w:t>
      </w:r>
      <w:r w:rsidR="00627AAE">
        <w:rPr>
          <w:rFonts w:eastAsia="Calibri"/>
          <w:lang w:val="es-MX"/>
        </w:rPr>
        <w:t xml:space="preserve"> una</w:t>
      </w:r>
      <w:r w:rsidR="003C7701" w:rsidRPr="003C7701">
        <w:rPr>
          <w:rFonts w:eastAsia="Calibri"/>
          <w:lang w:val="es-MX"/>
        </w:rPr>
        <w:t xml:space="preserve"> </w:t>
      </w:r>
      <w:r w:rsidR="0055669E" w:rsidRPr="003C7701">
        <w:rPr>
          <w:rFonts w:eastAsia="Calibri"/>
          <w:lang w:val="es-MX"/>
        </w:rPr>
        <w:t>investigación</w:t>
      </w:r>
      <w:r w:rsidR="003C7701" w:rsidRPr="003C7701">
        <w:rPr>
          <w:rFonts w:eastAsia="Calibri"/>
          <w:lang w:val="es-MX"/>
        </w:rPr>
        <w:t xml:space="preserve"> </w:t>
      </w:r>
      <w:r w:rsidR="00F83D61">
        <w:rPr>
          <w:rFonts w:eastAsia="Calibri"/>
          <w:lang w:val="es-MX"/>
        </w:rPr>
        <w:t xml:space="preserve">de los efectos </w:t>
      </w:r>
      <w:r w:rsidR="003C7701" w:rsidRPr="003C7701">
        <w:rPr>
          <w:rFonts w:eastAsia="Calibri"/>
          <w:lang w:val="es-MX"/>
        </w:rPr>
        <w:t>individual</w:t>
      </w:r>
      <w:r w:rsidR="00F83D61">
        <w:rPr>
          <w:rFonts w:eastAsia="Calibri"/>
          <w:lang w:val="es-MX"/>
        </w:rPr>
        <w:t>es</w:t>
      </w:r>
      <w:r w:rsidR="00627AAE">
        <w:rPr>
          <w:rFonts w:eastAsia="Calibri"/>
          <w:lang w:val="es-MX"/>
        </w:rPr>
        <w:t xml:space="preserve"> y </w:t>
      </w:r>
      <w:r w:rsidR="006E50AA">
        <w:rPr>
          <w:rFonts w:eastAsia="Calibri"/>
          <w:lang w:val="es-MX"/>
        </w:rPr>
        <w:t>del vecindario</w:t>
      </w:r>
      <w:r w:rsidR="00627AAE">
        <w:rPr>
          <w:rFonts w:eastAsia="Calibri"/>
          <w:lang w:val="es-MX"/>
        </w:rPr>
        <w:t xml:space="preserve">. </w:t>
      </w:r>
      <w:r w:rsidR="0050210F">
        <w:rPr>
          <w:rFonts w:eastAsia="Calibri"/>
          <w:lang w:val="es-MX"/>
        </w:rPr>
        <w:t xml:space="preserve">Hemos logrado </w:t>
      </w:r>
      <w:r w:rsidR="00627AAE">
        <w:rPr>
          <w:rFonts w:eastAsia="Calibri"/>
          <w:lang w:val="es-MX"/>
        </w:rPr>
        <w:t>a la fecha, importantes perspectiva</w:t>
      </w:r>
      <w:r w:rsidR="006E50AA">
        <w:rPr>
          <w:rFonts w:eastAsia="Calibri"/>
          <w:lang w:val="es-MX"/>
        </w:rPr>
        <w:t>s</w:t>
      </w:r>
      <w:r w:rsidR="00627AAE">
        <w:rPr>
          <w:rFonts w:eastAsia="Calibri"/>
          <w:lang w:val="es-MX"/>
        </w:rPr>
        <w:t xml:space="preserve"> sobre las implicaciones</w:t>
      </w:r>
      <w:r w:rsidR="003C7701" w:rsidRPr="003C7701">
        <w:rPr>
          <w:rFonts w:eastAsia="Calibri"/>
          <w:lang w:val="es-MX"/>
        </w:rPr>
        <w:t xml:space="preserve"> </w:t>
      </w:r>
      <w:r w:rsidR="003C7701">
        <w:rPr>
          <w:rFonts w:eastAsia="Calibri"/>
          <w:lang w:val="es-MX"/>
        </w:rPr>
        <w:t>de la vigilancia</w:t>
      </w:r>
      <w:r w:rsidR="00627AAE">
        <w:rPr>
          <w:rFonts w:eastAsia="Calibri"/>
          <w:lang w:val="es-MX"/>
        </w:rPr>
        <w:t xml:space="preserve"> migrat</w:t>
      </w:r>
      <w:r w:rsidR="006E50AA">
        <w:rPr>
          <w:rFonts w:eastAsia="Calibri"/>
          <w:lang w:val="es-MX"/>
        </w:rPr>
        <w:t>oria a nivel individual desde los</w:t>
      </w:r>
      <w:r w:rsidR="00627AAE">
        <w:rPr>
          <w:rFonts w:eastAsia="Calibri"/>
          <w:lang w:val="es-MX"/>
        </w:rPr>
        <w:t xml:space="preserve"> análisis cualitativos y </w:t>
      </w:r>
      <w:r w:rsidR="006E50AA">
        <w:rPr>
          <w:rFonts w:eastAsia="Calibri"/>
          <w:lang w:val="es-MX"/>
        </w:rPr>
        <w:t xml:space="preserve">las </w:t>
      </w:r>
      <w:r w:rsidR="00627AAE">
        <w:rPr>
          <w:rFonts w:eastAsia="Calibri"/>
          <w:lang w:val="es-MX"/>
        </w:rPr>
        <w:t xml:space="preserve">normas que revelaron una serie de consecuencias negativas que incluyen la </w:t>
      </w:r>
      <w:r w:rsidR="0055669E">
        <w:rPr>
          <w:rFonts w:eastAsia="Calibri"/>
          <w:lang w:val="es-MX"/>
        </w:rPr>
        <w:t>elaboración</w:t>
      </w:r>
      <w:r w:rsidR="003C7701">
        <w:rPr>
          <w:rFonts w:eastAsia="Calibri"/>
          <w:lang w:val="es-MX"/>
        </w:rPr>
        <w:t xml:space="preserve"> de</w:t>
      </w:r>
      <w:r w:rsidR="006E50AA">
        <w:rPr>
          <w:rFonts w:eastAsia="Calibri"/>
          <w:lang w:val="es-MX"/>
        </w:rPr>
        <w:t>l</w:t>
      </w:r>
      <w:r w:rsidR="003C7701">
        <w:rPr>
          <w:rFonts w:eastAsia="Calibri"/>
          <w:lang w:val="es-MX"/>
        </w:rPr>
        <w:t xml:space="preserve"> perfil racial y la criminalización de los lati</w:t>
      </w:r>
      <w:r w:rsidR="006E50AA">
        <w:rPr>
          <w:rFonts w:eastAsia="Calibri"/>
          <w:lang w:val="es-MX"/>
        </w:rPr>
        <w:t>nos</w:t>
      </w:r>
      <w:r w:rsidR="003C7701">
        <w:rPr>
          <w:rFonts w:eastAsia="Calibri"/>
          <w:lang w:val="es-MX"/>
        </w:rPr>
        <w:t xml:space="preserve"> </w:t>
      </w:r>
      <w:r w:rsidR="003C7701" w:rsidRPr="003C7701">
        <w:rPr>
          <w:rFonts w:eastAsia="Calibri"/>
          <w:lang w:val="es-MX"/>
        </w:rPr>
        <w:t xml:space="preserve">(Heyman, 2010; </w:t>
      </w:r>
      <w:r w:rsidR="003C7701" w:rsidRPr="003C7701">
        <w:rPr>
          <w:lang w:val="es-MX"/>
        </w:rPr>
        <w:t xml:space="preserve">Kennis, 2011; </w:t>
      </w:r>
      <w:r w:rsidR="003C7701" w:rsidRPr="003C7701">
        <w:rPr>
          <w:rFonts w:eastAsia="Calibri"/>
          <w:lang w:val="es-MX"/>
        </w:rPr>
        <w:t xml:space="preserve">Longazel, 2013; Provine et al., 2016; Provine and Sanchez, 2011; </w:t>
      </w:r>
      <w:r w:rsidR="003C7701" w:rsidRPr="003C7701">
        <w:rPr>
          <w:lang w:val="es-MX"/>
        </w:rPr>
        <w:t xml:space="preserve">Saenz et al., 2011), </w:t>
      </w:r>
      <w:r w:rsidR="00627AAE">
        <w:rPr>
          <w:lang w:val="es-MX"/>
        </w:rPr>
        <w:t>expulsión</w:t>
      </w:r>
      <w:r w:rsidR="003C7701">
        <w:rPr>
          <w:lang w:val="es-MX"/>
        </w:rPr>
        <w:t xml:space="preserve"> y </w:t>
      </w:r>
      <w:r w:rsidR="0055669E">
        <w:rPr>
          <w:lang w:val="es-MX"/>
        </w:rPr>
        <w:t>deportación</w:t>
      </w:r>
      <w:r w:rsidR="003C7701" w:rsidRPr="003C7701">
        <w:rPr>
          <w:lang w:val="es-MX"/>
        </w:rPr>
        <w:t xml:space="preserve"> (</w:t>
      </w:r>
      <w:r w:rsidR="003C7701" w:rsidRPr="003C7701">
        <w:rPr>
          <w:rFonts w:eastAsia="Calibri"/>
          <w:lang w:val="es-MX"/>
        </w:rPr>
        <w:t xml:space="preserve">Armenta, 2016; </w:t>
      </w:r>
      <w:r w:rsidR="003C7701" w:rsidRPr="003C7701">
        <w:rPr>
          <w:lang w:val="es-MX"/>
        </w:rPr>
        <w:t>Provine et al., 2016; Golash-Boza, 2012;</w:t>
      </w:r>
      <w:r w:rsidR="0055669E" w:rsidRPr="0055669E">
        <w:rPr>
          <w:lang w:val="es-MX"/>
        </w:rPr>
        <w:t xml:space="preserve"> Motomura, 2011),</w:t>
      </w:r>
      <w:r w:rsidR="0050210F">
        <w:rPr>
          <w:lang w:val="es-MX"/>
        </w:rPr>
        <w:t xml:space="preserve"> y poniendo en riesgo los </w:t>
      </w:r>
      <w:r w:rsidR="0055669E">
        <w:rPr>
          <w:lang w:val="es-MX"/>
        </w:rPr>
        <w:t xml:space="preserve">esfuerzos </w:t>
      </w:r>
      <w:r w:rsidR="00A55828">
        <w:rPr>
          <w:lang w:val="es-MX"/>
        </w:rPr>
        <w:t xml:space="preserve">de vigilancia </w:t>
      </w:r>
      <w:r w:rsidR="0050210F">
        <w:rPr>
          <w:lang w:val="es-MX"/>
        </w:rPr>
        <w:t xml:space="preserve">comunitaria </w:t>
      </w:r>
      <w:r w:rsidR="0055669E" w:rsidRPr="0055669E">
        <w:rPr>
          <w:lang w:val="es-MX"/>
        </w:rPr>
        <w:t>(Nygun and Gill, 2016)</w:t>
      </w:r>
      <w:r w:rsidR="00627AAE">
        <w:rPr>
          <w:rFonts w:eastAsia="Calibri"/>
          <w:lang w:val="es-MX"/>
        </w:rPr>
        <w:t xml:space="preserve">.  A nivel </w:t>
      </w:r>
      <w:r w:rsidR="0055669E">
        <w:rPr>
          <w:rFonts w:eastAsia="Calibri"/>
          <w:lang w:val="es-MX"/>
        </w:rPr>
        <w:t xml:space="preserve">vecindario </w:t>
      </w:r>
      <w:r w:rsidR="00627AAE">
        <w:rPr>
          <w:rFonts w:eastAsia="Calibri"/>
          <w:lang w:val="es-MX"/>
        </w:rPr>
        <w:t xml:space="preserve">se le ha dado </w:t>
      </w:r>
      <w:r w:rsidR="0050210F">
        <w:rPr>
          <w:rFonts w:eastAsia="Calibri"/>
          <w:lang w:val="es-MX"/>
        </w:rPr>
        <w:t xml:space="preserve">menos </w:t>
      </w:r>
      <w:r w:rsidR="00627AAE">
        <w:rPr>
          <w:rFonts w:eastAsia="Calibri"/>
          <w:lang w:val="es-MX"/>
        </w:rPr>
        <w:t xml:space="preserve">atención a la vigilancia migratoria. Una excepción importante es el </w:t>
      </w:r>
      <w:r w:rsidR="00FB702D">
        <w:rPr>
          <w:rFonts w:eastAsia="Calibri"/>
          <w:lang w:val="es-MX"/>
        </w:rPr>
        <w:t>análisis</w:t>
      </w:r>
      <w:r w:rsidR="00627AAE">
        <w:rPr>
          <w:rFonts w:eastAsia="Calibri"/>
          <w:lang w:val="es-MX"/>
        </w:rPr>
        <w:t xml:space="preserve"> de Mary Romero (2006) de las re</w:t>
      </w:r>
      <w:r w:rsidR="006E50AA">
        <w:rPr>
          <w:rFonts w:eastAsia="Calibri"/>
          <w:lang w:val="es-MX"/>
        </w:rPr>
        <w:t xml:space="preserve">dadas Chandler en Arizona que arrojó </w:t>
      </w:r>
      <w:r w:rsidR="00627AAE">
        <w:rPr>
          <w:rFonts w:eastAsia="Calibri"/>
          <w:lang w:val="es-MX"/>
        </w:rPr>
        <w:t xml:space="preserve">que los residentes de </w:t>
      </w:r>
      <w:r w:rsidR="00EB05CE">
        <w:rPr>
          <w:rFonts w:eastAsia="Calibri"/>
          <w:lang w:val="es-MX"/>
        </w:rPr>
        <w:t xml:space="preserve">los </w:t>
      </w:r>
      <w:r w:rsidR="00627AAE">
        <w:rPr>
          <w:rFonts w:eastAsia="Calibri"/>
          <w:lang w:val="es-MX"/>
        </w:rPr>
        <w:t>vecindarios latinos eran</w:t>
      </w:r>
      <w:r w:rsidR="00EB05CE">
        <w:rPr>
          <w:rFonts w:eastAsia="Calibri"/>
          <w:lang w:val="es-MX"/>
        </w:rPr>
        <w:t>,</w:t>
      </w:r>
      <w:r w:rsidR="00627AAE">
        <w:rPr>
          <w:rFonts w:eastAsia="Calibri"/>
          <w:lang w:val="es-MX"/>
        </w:rPr>
        <w:t xml:space="preserve"> de manera </w:t>
      </w:r>
      <w:r w:rsidR="00FB702D">
        <w:rPr>
          <w:rFonts w:eastAsia="Calibri"/>
          <w:lang w:val="es-MX"/>
        </w:rPr>
        <w:t>desproporcionada</w:t>
      </w:r>
      <w:r w:rsidR="00A55828">
        <w:rPr>
          <w:rFonts w:eastAsia="Calibri"/>
          <w:lang w:val="es-MX"/>
        </w:rPr>
        <w:t>,</w:t>
      </w:r>
      <w:r w:rsidR="00EB05CE">
        <w:rPr>
          <w:rFonts w:eastAsia="Calibri"/>
          <w:lang w:val="es-MX"/>
        </w:rPr>
        <w:t xml:space="preserve"> un blanco</w:t>
      </w:r>
      <w:r w:rsidR="0050210F">
        <w:rPr>
          <w:rFonts w:eastAsia="Calibri"/>
          <w:lang w:val="es-MX"/>
        </w:rPr>
        <w:t>. Contribuimos a</w:t>
      </w:r>
      <w:r w:rsidR="00627AAE">
        <w:rPr>
          <w:rFonts w:eastAsia="Calibri"/>
          <w:lang w:val="es-MX"/>
        </w:rPr>
        <w:t xml:space="preserve"> este estudio </w:t>
      </w:r>
      <w:r w:rsidR="0050210F">
        <w:rPr>
          <w:rFonts w:eastAsia="Calibri"/>
          <w:lang w:val="es-MX"/>
        </w:rPr>
        <w:t xml:space="preserve">estableciendo </w:t>
      </w:r>
      <w:r w:rsidR="00627AAE">
        <w:rPr>
          <w:rFonts w:eastAsia="Calibri"/>
          <w:lang w:val="es-MX"/>
        </w:rPr>
        <w:t xml:space="preserve">que las personas de la </w:t>
      </w:r>
      <w:r w:rsidR="00FB702D">
        <w:rPr>
          <w:rFonts w:eastAsia="Calibri"/>
          <w:lang w:val="es-MX"/>
        </w:rPr>
        <w:t>primera</w:t>
      </w:r>
      <w:r w:rsidR="00627AAE">
        <w:rPr>
          <w:rFonts w:eastAsia="Calibri"/>
          <w:lang w:val="es-MX"/>
        </w:rPr>
        <w:t xml:space="preserve"> y segunda generación y </w:t>
      </w:r>
      <w:r w:rsidR="0050210F">
        <w:rPr>
          <w:rFonts w:eastAsia="Calibri"/>
          <w:lang w:val="es-MX"/>
        </w:rPr>
        <w:t xml:space="preserve">quienes </w:t>
      </w:r>
      <w:r w:rsidR="00627AAE">
        <w:rPr>
          <w:rFonts w:eastAsia="Calibri"/>
          <w:lang w:val="es-MX"/>
        </w:rPr>
        <w:t xml:space="preserve">viven en vecindarios caracterizados por la pobreza y por un nivel medio de </w:t>
      </w:r>
      <w:r w:rsidR="006B6312">
        <w:rPr>
          <w:rFonts w:eastAsia="Calibri"/>
          <w:lang w:val="es-MX"/>
        </w:rPr>
        <w:t>enclavismo</w:t>
      </w:r>
      <w:r w:rsidR="00627AAE">
        <w:rPr>
          <w:rFonts w:eastAsia="Calibri"/>
          <w:lang w:val="es-MX"/>
        </w:rPr>
        <w:t xml:space="preserve"> son cuestionados</w:t>
      </w:r>
      <w:r w:rsidR="00A55828">
        <w:rPr>
          <w:rFonts w:eastAsia="Calibri"/>
          <w:lang w:val="es-MX"/>
        </w:rPr>
        <w:t>,</w:t>
      </w:r>
      <w:r w:rsidR="00627AAE">
        <w:rPr>
          <w:rFonts w:eastAsia="Calibri"/>
          <w:lang w:val="es-MX"/>
        </w:rPr>
        <w:t xml:space="preserve"> </w:t>
      </w:r>
      <w:r w:rsidR="00F0717A">
        <w:rPr>
          <w:rFonts w:eastAsia="Calibri"/>
          <w:lang w:val="es-MX"/>
        </w:rPr>
        <w:t>de manera desproporcionada</w:t>
      </w:r>
      <w:r w:rsidR="00A55828">
        <w:rPr>
          <w:rFonts w:eastAsia="Calibri"/>
          <w:lang w:val="es-MX"/>
        </w:rPr>
        <w:t>,</w:t>
      </w:r>
      <w:r w:rsidR="00627AAE">
        <w:rPr>
          <w:rFonts w:eastAsia="Calibri"/>
          <w:lang w:val="es-MX"/>
        </w:rPr>
        <w:t xml:space="preserve"> </w:t>
      </w:r>
      <w:r w:rsidR="00FB702D">
        <w:rPr>
          <w:rFonts w:eastAsia="Calibri"/>
          <w:lang w:val="es-MX"/>
        </w:rPr>
        <w:t>sobre</w:t>
      </w:r>
      <w:r w:rsidR="00627AAE">
        <w:rPr>
          <w:rFonts w:eastAsia="Calibri"/>
          <w:lang w:val="es-MX"/>
        </w:rPr>
        <w:t xml:space="preserve"> su estatus de </w:t>
      </w:r>
      <w:r w:rsidR="00FB702D">
        <w:rPr>
          <w:rFonts w:eastAsia="Calibri"/>
          <w:lang w:val="es-MX"/>
        </w:rPr>
        <w:t>ciudadanía</w:t>
      </w:r>
      <w:r w:rsidR="00627AAE">
        <w:rPr>
          <w:rFonts w:eastAsia="Calibri"/>
          <w:lang w:val="es-MX"/>
        </w:rPr>
        <w:t xml:space="preserve"> por las agencias policiacas.</w:t>
      </w:r>
      <w:r w:rsidR="0055669E">
        <w:rPr>
          <w:rFonts w:eastAsia="Calibri"/>
          <w:lang w:val="es-MX"/>
        </w:rPr>
        <w:t xml:space="preserve"> </w:t>
      </w:r>
    </w:p>
    <w:p w14:paraId="25C90315" w14:textId="77777777" w:rsidR="006F29D6" w:rsidRPr="0027739D" w:rsidRDefault="006F29D6" w:rsidP="00F0717A">
      <w:pPr>
        <w:spacing w:line="480" w:lineRule="auto"/>
        <w:ind w:firstLine="720"/>
        <w:jc w:val="both"/>
        <w:rPr>
          <w:rFonts w:eastAsia="Calibri"/>
          <w:lang w:val="es-MX"/>
        </w:rPr>
      </w:pPr>
    </w:p>
    <w:p w14:paraId="56A63F50" w14:textId="1D08C79D" w:rsidR="0019649B" w:rsidRDefault="00FD21B4" w:rsidP="00F0717A">
      <w:pPr>
        <w:spacing w:line="480" w:lineRule="auto"/>
        <w:jc w:val="both"/>
      </w:pPr>
      <w:r>
        <w:t>REFERENCIAS:</w:t>
      </w:r>
      <w:r w:rsidR="00903936">
        <w:t xml:space="preserve">  </w:t>
      </w:r>
    </w:p>
    <w:p w14:paraId="469B549A" w14:textId="77777777" w:rsidR="000F4977" w:rsidRPr="0004124E" w:rsidRDefault="000F4977" w:rsidP="00F0717A">
      <w:pPr>
        <w:spacing w:line="480" w:lineRule="auto"/>
        <w:jc w:val="both"/>
      </w:pPr>
      <w:r w:rsidRPr="0004124E">
        <w:t xml:space="preserve">American Community Survey. “Five-year 2008-2015 Census Tract Data for El Paso </w:t>
      </w:r>
    </w:p>
    <w:p w14:paraId="50097215" w14:textId="77777777" w:rsidR="000F4977" w:rsidRPr="0004124E" w:rsidRDefault="000F4977" w:rsidP="00F0717A">
      <w:pPr>
        <w:spacing w:line="480" w:lineRule="auto"/>
        <w:jc w:val="both"/>
      </w:pPr>
      <w:r w:rsidRPr="0004124E">
        <w:tab/>
        <w:t xml:space="preserve">County, Texas.” Accessed  March 2, 2015 </w:t>
      </w:r>
      <w:hyperlink r:id="rId9" w:history="1">
        <w:r w:rsidRPr="0004124E">
          <w:rPr>
            <w:rStyle w:val="Hyperlink"/>
          </w:rPr>
          <w:t>https://www.census.gov/programs</w:t>
        </w:r>
      </w:hyperlink>
    </w:p>
    <w:p w14:paraId="156A7D2D" w14:textId="77777777" w:rsidR="000F4977" w:rsidRPr="00BC38B8" w:rsidRDefault="000F4977" w:rsidP="00F0717A">
      <w:pPr>
        <w:spacing w:line="480" w:lineRule="auto"/>
        <w:ind w:firstLine="720"/>
        <w:jc w:val="both"/>
        <w:rPr>
          <w:lang w:val="fr-FR"/>
        </w:rPr>
      </w:pPr>
      <w:r w:rsidRPr="00BC38B8">
        <w:rPr>
          <w:lang w:val="fr-FR"/>
        </w:rPr>
        <w:t>surveys/acs/</w:t>
      </w:r>
    </w:p>
    <w:p w14:paraId="3150F041" w14:textId="77777777" w:rsidR="000F4977" w:rsidRPr="0004124E" w:rsidRDefault="000F4977" w:rsidP="00F0717A">
      <w:pPr>
        <w:spacing w:line="480" w:lineRule="auto"/>
        <w:jc w:val="both"/>
      </w:pPr>
      <w:r w:rsidRPr="00BC38B8">
        <w:rPr>
          <w:lang w:val="fr-FR"/>
        </w:rPr>
        <w:t xml:space="preserve">Arizona et al. </w:t>
      </w:r>
      <w:r w:rsidRPr="0004124E">
        <w:t>Petitioners  v. United States.567 U.S. 132 s. ct. 2492.  (2012) Docket no.11-182</w:t>
      </w:r>
    </w:p>
    <w:p w14:paraId="091DBD57" w14:textId="77777777" w:rsidR="000F4977" w:rsidRPr="0004124E" w:rsidRDefault="000F4977" w:rsidP="00F0717A">
      <w:pPr>
        <w:spacing w:line="480" w:lineRule="auto"/>
        <w:ind w:firstLine="720"/>
        <w:jc w:val="both"/>
      </w:pPr>
      <w:r w:rsidRPr="0004124E">
        <w:t xml:space="preserve">Supreme Court of the United States </w:t>
      </w:r>
    </w:p>
    <w:p w14:paraId="54F57045" w14:textId="77777777" w:rsidR="000F4977" w:rsidRPr="0004124E" w:rsidRDefault="000F4977" w:rsidP="00F0717A">
      <w:pPr>
        <w:spacing w:line="480" w:lineRule="auto"/>
        <w:jc w:val="both"/>
        <w:rPr>
          <w:color w:val="222222"/>
        </w:rPr>
      </w:pPr>
      <w:r w:rsidRPr="0004124E">
        <w:rPr>
          <w:color w:val="222222"/>
        </w:rPr>
        <w:t>Armenta, Amada. “From Sheriff's Deputies to Immigration Officers: Screening</w:t>
      </w:r>
    </w:p>
    <w:p w14:paraId="66E0F3B6" w14:textId="77777777" w:rsidR="000F4977" w:rsidRPr="0004124E" w:rsidRDefault="000F4977" w:rsidP="00F0717A">
      <w:pPr>
        <w:spacing w:line="480" w:lineRule="auto"/>
        <w:ind w:firstLine="720"/>
        <w:jc w:val="both"/>
        <w:rPr>
          <w:color w:val="222222"/>
        </w:rPr>
      </w:pPr>
      <w:r w:rsidRPr="0004124E">
        <w:rPr>
          <w:color w:val="222222"/>
        </w:rPr>
        <w:t xml:space="preserve">Immigrant in a Tennessee Jail”. </w:t>
      </w:r>
      <w:r w:rsidRPr="0004124E">
        <w:rPr>
          <w:i/>
          <w:iCs/>
          <w:color w:val="222222"/>
        </w:rPr>
        <w:t>Law &amp; Policy</w:t>
      </w:r>
      <w:r w:rsidRPr="0004124E">
        <w:rPr>
          <w:iCs/>
          <w:color w:val="222222"/>
        </w:rPr>
        <w:t xml:space="preserve"> 34</w:t>
      </w:r>
      <w:r w:rsidRPr="0004124E">
        <w:rPr>
          <w:color w:val="222222"/>
        </w:rPr>
        <w:t xml:space="preserve">, </w:t>
      </w:r>
      <w:r w:rsidRPr="0004124E">
        <w:rPr>
          <w:i/>
          <w:iCs/>
          <w:color w:val="222222"/>
        </w:rPr>
        <w:t>no.</w:t>
      </w:r>
      <w:r w:rsidRPr="0004124E">
        <w:rPr>
          <w:color w:val="222222"/>
        </w:rPr>
        <w:t>2 (2012): 191-210.</w:t>
      </w:r>
      <w:r w:rsidRPr="0004124E">
        <w:rPr>
          <w:rFonts w:ascii="Arial" w:hAnsi="Arial" w:cs="Arial"/>
          <w:color w:val="333333"/>
          <w:sz w:val="23"/>
          <w:szCs w:val="23"/>
          <w:shd w:val="clear" w:color="auto" w:fill="FDFDFD"/>
        </w:rPr>
        <w:t xml:space="preserve"> </w:t>
      </w:r>
    </w:p>
    <w:p w14:paraId="5EF2757E" w14:textId="4F52B216" w:rsidR="000F4977" w:rsidRPr="0004124E" w:rsidRDefault="000F4977" w:rsidP="00F0717A">
      <w:pPr>
        <w:spacing w:line="480" w:lineRule="auto"/>
        <w:ind w:firstLine="720"/>
        <w:jc w:val="both"/>
        <w:rPr>
          <w:color w:val="333333"/>
          <w:shd w:val="clear" w:color="auto" w:fill="FDFDFD"/>
        </w:rPr>
      </w:pPr>
      <w:r w:rsidRPr="0004124E">
        <w:rPr>
          <w:color w:val="333333"/>
          <w:shd w:val="clear" w:color="auto" w:fill="FDFDFD"/>
        </w:rPr>
        <w:lastRenderedPageBreak/>
        <w:t>doi:10.1111/j.1467-9930.2011.00359.x</w:t>
      </w:r>
    </w:p>
    <w:p w14:paraId="4C21D251" w14:textId="035912DA" w:rsidR="009D3EF7" w:rsidRPr="0004124E" w:rsidRDefault="009D3EF7" w:rsidP="00F0717A">
      <w:pPr>
        <w:spacing w:line="480" w:lineRule="auto"/>
        <w:jc w:val="both"/>
      </w:pPr>
      <w:r w:rsidRPr="0004124E">
        <w:rPr>
          <w:color w:val="333333"/>
          <w:shd w:val="clear" w:color="auto" w:fill="FDFDFD"/>
        </w:rPr>
        <w:t xml:space="preserve">_____. </w:t>
      </w:r>
      <w:r w:rsidRPr="0004124E">
        <w:t xml:space="preserve">“Between Public Service and Social Control: Policing Dilemmas in the Era of Immigration Enforcement.” </w:t>
      </w:r>
      <w:r w:rsidRPr="0004124E">
        <w:rPr>
          <w:i/>
        </w:rPr>
        <w:t>Social Problems</w:t>
      </w:r>
      <w:r w:rsidRPr="0004124E">
        <w:t xml:space="preserve"> 63 (2016):111-126.  </w:t>
      </w:r>
    </w:p>
    <w:p w14:paraId="16923D97" w14:textId="77777777" w:rsidR="000F4977" w:rsidRPr="0004124E" w:rsidRDefault="000F4977" w:rsidP="00F0717A">
      <w:pPr>
        <w:spacing w:line="480" w:lineRule="auto"/>
        <w:jc w:val="both"/>
      </w:pPr>
      <w:r w:rsidRPr="0004124E">
        <w:t>Bejarano, Cynthia, Morales, Maria Cristina, and Said Saddiki. “A Comparative Analysis</w:t>
      </w:r>
    </w:p>
    <w:p w14:paraId="03518308" w14:textId="77777777" w:rsidR="000F4977" w:rsidRPr="0004124E" w:rsidRDefault="000F4977" w:rsidP="00F0717A">
      <w:pPr>
        <w:spacing w:line="480" w:lineRule="auto"/>
        <w:ind w:firstLine="720"/>
        <w:jc w:val="both"/>
      </w:pPr>
      <w:r w:rsidRPr="0004124E">
        <w:t>of the Mexico U.S. and Moroccan-Spanish Regions: Understanding Conquest through a</w:t>
      </w:r>
    </w:p>
    <w:p w14:paraId="691C6DB8" w14:textId="77777777" w:rsidR="000F4977" w:rsidRPr="0004124E" w:rsidRDefault="000F4977" w:rsidP="00F0717A">
      <w:pPr>
        <w:spacing w:line="480" w:lineRule="auto"/>
        <w:ind w:firstLine="720"/>
        <w:jc w:val="both"/>
        <w:rPr>
          <w:iCs/>
        </w:rPr>
      </w:pPr>
      <w:r w:rsidRPr="0004124E">
        <w:t xml:space="preserve">Border Lens.” In </w:t>
      </w:r>
      <w:r w:rsidRPr="0004124E">
        <w:rPr>
          <w:i/>
          <w:iCs/>
        </w:rPr>
        <w:t xml:space="preserve">Beyond Walls and Cages: Prisons, Borders, and Global Crisis., </w:t>
      </w:r>
      <w:r w:rsidRPr="0004124E">
        <w:rPr>
          <w:iCs/>
        </w:rPr>
        <w:t>edited</w:t>
      </w:r>
    </w:p>
    <w:p w14:paraId="02AA254F" w14:textId="77777777" w:rsidR="000F4977" w:rsidRPr="0004124E" w:rsidRDefault="000F4977" w:rsidP="00F0717A">
      <w:pPr>
        <w:spacing w:line="480" w:lineRule="auto"/>
        <w:ind w:firstLine="720"/>
        <w:jc w:val="both"/>
      </w:pPr>
      <w:r w:rsidRPr="0004124E">
        <w:rPr>
          <w:iCs/>
        </w:rPr>
        <w:t xml:space="preserve">by </w:t>
      </w:r>
      <w:r w:rsidRPr="0004124E">
        <w:t xml:space="preserve">Jenna M. Lloyd, Matt Mitchelson and Andrew Burridge, </w:t>
      </w:r>
      <w:r w:rsidRPr="0004124E">
        <w:rPr>
          <w:iCs/>
        </w:rPr>
        <w:t>27-41</w:t>
      </w:r>
      <w:r w:rsidRPr="0004124E">
        <w:t>. University of</w:t>
      </w:r>
      <w:r w:rsidRPr="0004124E">
        <w:rPr>
          <w:i/>
          <w:iCs/>
        </w:rPr>
        <w:t xml:space="preserve"> </w:t>
      </w:r>
      <w:r w:rsidRPr="0004124E">
        <w:t>Georgia</w:t>
      </w:r>
    </w:p>
    <w:p w14:paraId="5465FCAC" w14:textId="2F4D1F1C" w:rsidR="000F4977" w:rsidRPr="0004124E" w:rsidRDefault="000F4977" w:rsidP="00F0717A">
      <w:pPr>
        <w:spacing w:line="480" w:lineRule="auto"/>
        <w:ind w:firstLine="720"/>
        <w:contextualSpacing/>
        <w:jc w:val="both"/>
      </w:pPr>
      <w:r w:rsidRPr="0004124E">
        <w:t>Press, 2012</w:t>
      </w:r>
    </w:p>
    <w:p w14:paraId="4C7D369C" w14:textId="77777777" w:rsidR="009D3EF7" w:rsidRPr="0004124E" w:rsidRDefault="009D3EF7" w:rsidP="00F0717A">
      <w:pPr>
        <w:pStyle w:val="NormalWeb"/>
        <w:spacing w:line="480" w:lineRule="auto"/>
        <w:contextualSpacing/>
        <w:jc w:val="both"/>
      </w:pPr>
      <w:r w:rsidRPr="0004124E">
        <w:t xml:space="preserve">Borunda, D. “El Paso Ranked Safest Large City in U.S. for 3rd Straight Year.” </w:t>
      </w:r>
      <w:r w:rsidRPr="0004124E">
        <w:rPr>
          <w:i/>
        </w:rPr>
        <w:t>El Paso Times</w:t>
      </w:r>
      <w:r w:rsidRPr="0004124E">
        <w:t xml:space="preserve">. </w:t>
      </w:r>
    </w:p>
    <w:p w14:paraId="73245030" w14:textId="0105C3A8" w:rsidR="009D3EF7" w:rsidRPr="0004124E" w:rsidRDefault="009D3EF7" w:rsidP="00F0717A">
      <w:pPr>
        <w:pStyle w:val="NormalWeb"/>
        <w:spacing w:line="480" w:lineRule="auto"/>
        <w:ind w:left="720"/>
        <w:contextualSpacing/>
        <w:jc w:val="both"/>
      </w:pPr>
      <w:r w:rsidRPr="0004124E">
        <w:t>Retrieved October 1, 2015, from http://archive.elpasotimes.com/tablehome/ci_22523903/el-paso-ranked-safest-large-city-u-s</w:t>
      </w:r>
    </w:p>
    <w:p w14:paraId="679B3C6F" w14:textId="77777777" w:rsidR="000F4977" w:rsidRPr="0004124E" w:rsidRDefault="000F4977" w:rsidP="00F0717A">
      <w:pPr>
        <w:spacing w:line="480" w:lineRule="auto"/>
        <w:jc w:val="both"/>
      </w:pPr>
      <w:r w:rsidRPr="0004124E">
        <w:t>Burchfield, Keri B., and Eric Silver. “Collective Efficacy and Crime in Los Angeles</w:t>
      </w:r>
    </w:p>
    <w:p w14:paraId="496A5906" w14:textId="77777777" w:rsidR="000F4977" w:rsidRPr="0004124E" w:rsidRDefault="000F4977" w:rsidP="00F0717A">
      <w:pPr>
        <w:spacing w:line="480" w:lineRule="auto"/>
        <w:ind w:firstLine="720"/>
        <w:jc w:val="both"/>
      </w:pPr>
      <w:r w:rsidRPr="0004124E">
        <w:t>Neighborhoods: Implications for the Latino Paradox Collective Efficacy and Crime in</w:t>
      </w:r>
    </w:p>
    <w:p w14:paraId="0FE607D6" w14:textId="77777777" w:rsidR="000F4977" w:rsidRPr="0004124E" w:rsidRDefault="000F4977" w:rsidP="00F0717A">
      <w:pPr>
        <w:spacing w:line="480" w:lineRule="auto"/>
        <w:ind w:left="720"/>
        <w:jc w:val="both"/>
        <w:rPr>
          <w:i/>
          <w:iCs/>
        </w:rPr>
      </w:pPr>
      <w:r w:rsidRPr="0004124E">
        <w:t>Los Angeles Neighborhoods: Implications for the Latino Paradox”. </w:t>
      </w:r>
      <w:r w:rsidRPr="0004124E">
        <w:rPr>
          <w:i/>
          <w:iCs/>
        </w:rPr>
        <w:t>Sociological</w:t>
      </w:r>
    </w:p>
    <w:p w14:paraId="06C74941" w14:textId="77777777" w:rsidR="000F4977" w:rsidRPr="0004124E" w:rsidRDefault="000F4977" w:rsidP="00F0717A">
      <w:pPr>
        <w:spacing w:line="480" w:lineRule="auto"/>
        <w:ind w:left="720"/>
        <w:jc w:val="both"/>
      </w:pPr>
      <w:r w:rsidRPr="0004124E">
        <w:rPr>
          <w:i/>
          <w:iCs/>
        </w:rPr>
        <w:t>Inquiry</w:t>
      </w:r>
      <w:r w:rsidRPr="0004124E">
        <w:rPr>
          <w:iCs/>
        </w:rPr>
        <w:t>83</w:t>
      </w:r>
      <w:r w:rsidRPr="0004124E">
        <w:t>, </w:t>
      </w:r>
      <w:r w:rsidRPr="0004124E">
        <w:rPr>
          <w:iCs/>
        </w:rPr>
        <w:t>no.</w:t>
      </w:r>
      <w:r w:rsidRPr="0004124E">
        <w:t>1 (2013): 154-176. doi: 10.1111/j.1475-682X.2012.00429.x</w:t>
      </w:r>
    </w:p>
    <w:p w14:paraId="2651F20B" w14:textId="77777777" w:rsidR="000F4977" w:rsidRPr="0004124E" w:rsidRDefault="000F4977" w:rsidP="00F0717A">
      <w:pPr>
        <w:spacing w:line="480" w:lineRule="auto"/>
        <w:jc w:val="both"/>
        <w:rPr>
          <w:i/>
        </w:rPr>
      </w:pPr>
      <w:r w:rsidRPr="0004124E">
        <w:t xml:space="preserve">Bryk, Anthony S., and Stephen W. Raudenbush. </w:t>
      </w:r>
      <w:r w:rsidRPr="0004124E">
        <w:rPr>
          <w:i/>
        </w:rPr>
        <w:t>Hierarchical Linear Models: Applications and</w:t>
      </w:r>
    </w:p>
    <w:p w14:paraId="30BF6903" w14:textId="77777777" w:rsidR="000F4977" w:rsidRPr="0004124E" w:rsidRDefault="000F4977" w:rsidP="00F0717A">
      <w:pPr>
        <w:spacing w:line="480" w:lineRule="auto"/>
        <w:ind w:firstLine="720"/>
        <w:jc w:val="both"/>
        <w:rPr>
          <w:i/>
        </w:rPr>
      </w:pPr>
      <w:r w:rsidRPr="0004124E">
        <w:rPr>
          <w:i/>
        </w:rPr>
        <w:t>Data Analysis.</w:t>
      </w:r>
      <w:r w:rsidRPr="0004124E">
        <w:t xml:space="preserve"> London: Sage Publication, 1992</w:t>
      </w:r>
    </w:p>
    <w:p w14:paraId="3A2C69D6" w14:textId="77777777" w:rsidR="000F4977" w:rsidRPr="0004124E" w:rsidRDefault="000F4977" w:rsidP="00F0717A">
      <w:pPr>
        <w:spacing w:line="480" w:lineRule="auto"/>
        <w:jc w:val="both"/>
      </w:pPr>
      <w:r w:rsidRPr="0004124E">
        <w:t xml:space="preserve">Cannon, Angie. “DWB: Driving while black”. </w:t>
      </w:r>
      <w:r w:rsidRPr="0004124E">
        <w:rPr>
          <w:i/>
        </w:rPr>
        <w:t>U.S. News &amp; World Report</w:t>
      </w:r>
      <w:r w:rsidRPr="0004124E">
        <w:t xml:space="preserve"> 126, no.10 (1999):72.</w:t>
      </w:r>
    </w:p>
    <w:p w14:paraId="54E51719" w14:textId="77777777" w:rsidR="000F4977" w:rsidRPr="0004124E" w:rsidRDefault="000F4977" w:rsidP="00F0717A">
      <w:pPr>
        <w:spacing w:line="480" w:lineRule="auto"/>
        <w:jc w:val="both"/>
      </w:pPr>
      <w:r w:rsidRPr="0004124E">
        <w:t xml:space="preserve">Chavez, Leo. R. </w:t>
      </w:r>
      <w:r w:rsidRPr="0004124E">
        <w:rPr>
          <w:i/>
          <w:iCs/>
        </w:rPr>
        <w:t>The Latino Threat: Constructing Immigrants, Citizens, and the Nation</w:t>
      </w:r>
      <w:r w:rsidRPr="0004124E">
        <w:t>.</w:t>
      </w:r>
    </w:p>
    <w:p w14:paraId="73B40A8C" w14:textId="76C65CCE" w:rsidR="000F4977" w:rsidRPr="0004124E" w:rsidRDefault="000F4977" w:rsidP="00F0717A">
      <w:pPr>
        <w:spacing w:line="480" w:lineRule="auto"/>
        <w:ind w:firstLine="720"/>
        <w:jc w:val="both"/>
      </w:pPr>
      <w:r w:rsidRPr="0004124E">
        <w:t>Stanford, CA: Stanford University Press</w:t>
      </w:r>
      <w:r w:rsidR="00874E20" w:rsidRPr="0004124E">
        <w:t xml:space="preserve"> (</w:t>
      </w:r>
      <w:r w:rsidRPr="0004124E">
        <w:t>2008</w:t>
      </w:r>
      <w:r w:rsidR="00874E20" w:rsidRPr="0004124E">
        <w:t>).</w:t>
      </w:r>
    </w:p>
    <w:p w14:paraId="5D058F59" w14:textId="77777777" w:rsidR="000F4977" w:rsidRPr="0004124E" w:rsidRDefault="000F4977" w:rsidP="00F0717A">
      <w:pPr>
        <w:spacing w:line="480" w:lineRule="auto"/>
        <w:jc w:val="both"/>
        <w:rPr>
          <w:iCs/>
        </w:rPr>
      </w:pPr>
      <w:r w:rsidRPr="0004124E">
        <w:t>Coleman, Mathew “Immigration geopolitics beyond the Mexico–US border”. </w:t>
      </w:r>
      <w:r w:rsidRPr="0004124E">
        <w:rPr>
          <w:i/>
          <w:iCs/>
        </w:rPr>
        <w:t>Antipode</w:t>
      </w:r>
    </w:p>
    <w:p w14:paraId="39593827" w14:textId="77777777" w:rsidR="000F4977" w:rsidRPr="0004124E" w:rsidRDefault="000F4977" w:rsidP="00F0717A">
      <w:pPr>
        <w:spacing w:line="480" w:lineRule="auto"/>
        <w:ind w:firstLine="720"/>
        <w:jc w:val="both"/>
      </w:pPr>
      <w:r w:rsidRPr="0004124E">
        <w:rPr>
          <w:iCs/>
        </w:rPr>
        <w:lastRenderedPageBreak/>
        <w:t>39</w:t>
      </w:r>
      <w:r w:rsidRPr="0004124E">
        <w:t>, </w:t>
      </w:r>
      <w:r w:rsidRPr="0004124E">
        <w:rPr>
          <w:iCs/>
        </w:rPr>
        <w:t>no</w:t>
      </w:r>
      <w:r w:rsidRPr="0004124E">
        <w:rPr>
          <w:i/>
          <w:iCs/>
        </w:rPr>
        <w:t>.</w:t>
      </w:r>
      <w:r w:rsidRPr="0004124E">
        <w:t>1 (2007): 54-76.</w:t>
      </w:r>
    </w:p>
    <w:p w14:paraId="2ECBFC72" w14:textId="77777777" w:rsidR="000F4977" w:rsidRPr="0004124E" w:rsidRDefault="000F4977" w:rsidP="00F0717A">
      <w:pPr>
        <w:spacing w:line="480" w:lineRule="auto"/>
        <w:jc w:val="both"/>
      </w:pPr>
      <w:r w:rsidRPr="0004124E">
        <w:t>Community Oriented Policing Services: U.S. Department of Justice “President's Task Force”.</w:t>
      </w:r>
    </w:p>
    <w:p w14:paraId="62A077CE" w14:textId="77777777" w:rsidR="000F4977" w:rsidRPr="0004124E" w:rsidRDefault="000F4977" w:rsidP="00F0717A">
      <w:pPr>
        <w:spacing w:line="480" w:lineRule="auto"/>
        <w:ind w:firstLine="720"/>
        <w:jc w:val="both"/>
      </w:pPr>
      <w:r w:rsidRPr="0004124E">
        <w:t xml:space="preserve">https://cops.usdoj.gov/PolicingTaskForce </w:t>
      </w:r>
    </w:p>
    <w:p w14:paraId="4121043C" w14:textId="77777777" w:rsidR="000F4977" w:rsidRPr="0004124E" w:rsidRDefault="000F4977" w:rsidP="00F0717A">
      <w:pPr>
        <w:spacing w:line="480" w:lineRule="auto"/>
        <w:jc w:val="both"/>
      </w:pPr>
      <w:r w:rsidRPr="0004124E">
        <w:t>Curry, Theodore. R., and Guadalupe Corral-Camacho. “Sentencing Young Minority Males for</w:t>
      </w:r>
    </w:p>
    <w:p w14:paraId="2AAC48F1" w14:textId="77777777" w:rsidR="000F4977" w:rsidRPr="0004124E" w:rsidRDefault="000F4977" w:rsidP="00F0717A">
      <w:pPr>
        <w:spacing w:line="480" w:lineRule="auto"/>
        <w:ind w:firstLine="720"/>
        <w:jc w:val="both"/>
      </w:pPr>
      <w:r w:rsidRPr="0004124E">
        <w:t>Drug Offenses Testing for Conditional Effects between Race/Ethnicity, Gender and Age</w:t>
      </w:r>
    </w:p>
    <w:p w14:paraId="2E77028B" w14:textId="77777777" w:rsidR="000F4977" w:rsidRPr="0004124E" w:rsidRDefault="000F4977" w:rsidP="00F0717A">
      <w:pPr>
        <w:spacing w:line="480" w:lineRule="auto"/>
        <w:ind w:firstLine="720"/>
        <w:jc w:val="both"/>
      </w:pPr>
      <w:r w:rsidRPr="0004124E">
        <w:t>During the US War on Drugs.” </w:t>
      </w:r>
      <w:r w:rsidRPr="0004124E">
        <w:rPr>
          <w:i/>
          <w:iCs/>
        </w:rPr>
        <w:t xml:space="preserve">Punishment &amp; Society </w:t>
      </w:r>
      <w:r w:rsidRPr="0004124E">
        <w:rPr>
          <w:iCs/>
        </w:rPr>
        <w:t>10</w:t>
      </w:r>
      <w:r w:rsidRPr="0004124E">
        <w:t>, no. 3 (2008): 253-276.</w:t>
      </w:r>
    </w:p>
    <w:p w14:paraId="26A962CB" w14:textId="77777777" w:rsidR="000F4977" w:rsidRPr="0004124E" w:rsidRDefault="000F4977" w:rsidP="00F0717A">
      <w:pPr>
        <w:spacing w:line="480" w:lineRule="auto"/>
        <w:ind w:firstLine="720"/>
        <w:jc w:val="both"/>
      </w:pPr>
      <w:r w:rsidRPr="0004124E">
        <w:t>doi: 10.1177/1462474508090231</w:t>
      </w:r>
    </w:p>
    <w:p w14:paraId="4B3FC67C" w14:textId="77777777" w:rsidR="000F4977" w:rsidRPr="0004124E" w:rsidRDefault="000F4977" w:rsidP="00F0717A">
      <w:pPr>
        <w:spacing w:line="480" w:lineRule="auto"/>
        <w:jc w:val="both"/>
      </w:pPr>
      <w:r w:rsidRPr="0004124E">
        <w:t>Davis, Robert. C., Edna  Erez, and Nancy Avitabile. “Access to Justice for Immigrants Who Are</w:t>
      </w:r>
    </w:p>
    <w:p w14:paraId="68AE5A7C" w14:textId="77777777" w:rsidR="000F4977" w:rsidRPr="0004124E" w:rsidRDefault="000F4977" w:rsidP="00F0717A">
      <w:pPr>
        <w:spacing w:line="480" w:lineRule="auto"/>
        <w:ind w:firstLine="720"/>
        <w:jc w:val="both"/>
        <w:rPr>
          <w:i/>
          <w:iCs/>
        </w:rPr>
      </w:pPr>
      <w:r w:rsidRPr="0004124E">
        <w:t>Victimized: The Perspectives of Police and Prosecutors.” </w:t>
      </w:r>
      <w:r w:rsidRPr="0004124E">
        <w:rPr>
          <w:i/>
          <w:iCs/>
        </w:rPr>
        <w:t>Criminal Justice Policy</w:t>
      </w:r>
    </w:p>
    <w:p w14:paraId="03D24647" w14:textId="77777777" w:rsidR="000F4977" w:rsidRPr="0004124E" w:rsidRDefault="000F4977" w:rsidP="00F0717A">
      <w:pPr>
        <w:spacing w:line="480" w:lineRule="auto"/>
        <w:ind w:left="720"/>
        <w:jc w:val="both"/>
      </w:pPr>
      <w:r w:rsidRPr="0004124E">
        <w:rPr>
          <w:i/>
          <w:iCs/>
        </w:rPr>
        <w:t>Review</w:t>
      </w:r>
      <w:r w:rsidRPr="0004124E">
        <w:rPr>
          <w:iCs/>
        </w:rPr>
        <w:t xml:space="preserve"> 12</w:t>
      </w:r>
      <w:r w:rsidRPr="0004124E">
        <w:t>, no. 3 (2001): 183-196. doi: 10.1177/0887403401012003001</w:t>
      </w:r>
    </w:p>
    <w:p w14:paraId="60D36CA7" w14:textId="77777777" w:rsidR="009D3EF7" w:rsidRPr="0004124E" w:rsidRDefault="009D3EF7" w:rsidP="00F0717A">
      <w:pPr>
        <w:spacing w:line="480" w:lineRule="auto"/>
        <w:jc w:val="both"/>
        <w:rPr>
          <w:shd w:val="clear" w:color="auto" w:fill="FFFFFF"/>
        </w:rPr>
      </w:pPr>
      <w:r w:rsidRPr="0004124E">
        <w:rPr>
          <w:shd w:val="clear" w:color="auto" w:fill="FFFFFF"/>
        </w:rPr>
        <w:t>Davis, R. C., and Miller, J. “Immigration and Integration: Perceptions of Community Policing</w:t>
      </w:r>
    </w:p>
    <w:p w14:paraId="021EAC6A" w14:textId="640C2255" w:rsidR="009D3EF7" w:rsidRPr="0004124E" w:rsidRDefault="009D3EF7" w:rsidP="00F0717A">
      <w:pPr>
        <w:spacing w:line="480" w:lineRule="auto"/>
        <w:ind w:left="720"/>
        <w:jc w:val="both"/>
        <w:rPr>
          <w:shd w:val="clear" w:color="auto" w:fill="FFFFFF"/>
        </w:rPr>
      </w:pPr>
      <w:r w:rsidRPr="0004124E">
        <w:rPr>
          <w:shd w:val="clear" w:color="auto" w:fill="FFFFFF"/>
        </w:rPr>
        <w:t xml:space="preserve">among Members of Six Ethnic Communities in Central Queens, New York City.” </w:t>
      </w:r>
      <w:r w:rsidRPr="0004124E">
        <w:rPr>
          <w:i/>
          <w:iCs/>
          <w:shd w:val="clear" w:color="auto" w:fill="FFFFFF"/>
        </w:rPr>
        <w:t>International Review of Victimology,</w:t>
      </w:r>
      <w:r w:rsidRPr="0004124E">
        <w:rPr>
          <w:rStyle w:val="apple-converted-space"/>
          <w:i/>
          <w:iCs/>
          <w:shd w:val="clear" w:color="auto" w:fill="FFFFFF"/>
        </w:rPr>
        <w:t> </w:t>
      </w:r>
      <w:r w:rsidRPr="0004124E">
        <w:rPr>
          <w:i/>
          <w:iCs/>
          <w:shd w:val="clear" w:color="auto" w:fill="FFFFFF"/>
        </w:rPr>
        <w:t xml:space="preserve">9, </w:t>
      </w:r>
      <w:r w:rsidRPr="0004124E">
        <w:rPr>
          <w:shd w:val="clear" w:color="auto" w:fill="FFFFFF"/>
        </w:rPr>
        <w:t xml:space="preserve">2, (2002):93-111. </w:t>
      </w:r>
    </w:p>
    <w:p w14:paraId="34DED59B" w14:textId="5F5F9B40" w:rsidR="000F4977" w:rsidRPr="0004124E" w:rsidRDefault="000F4977" w:rsidP="00F0717A">
      <w:pPr>
        <w:spacing w:line="480" w:lineRule="auto"/>
        <w:jc w:val="both"/>
        <w:rPr>
          <w:i/>
          <w:iCs/>
        </w:rPr>
      </w:pPr>
      <w:r w:rsidRPr="00091A12">
        <w:t xml:space="preserve">De Genova, Nicholas, and Nathalie M. Peutz,. </w:t>
      </w:r>
      <w:r w:rsidRPr="0004124E">
        <w:rPr>
          <w:i/>
          <w:iCs/>
        </w:rPr>
        <w:t>The Deportation Regime: Sovereignty, Space, and</w:t>
      </w:r>
    </w:p>
    <w:p w14:paraId="63B55D8B" w14:textId="2B9DA4B2" w:rsidR="000F4977" w:rsidRPr="0004124E" w:rsidRDefault="000F4977" w:rsidP="00F0717A">
      <w:pPr>
        <w:spacing w:line="480" w:lineRule="auto"/>
        <w:ind w:firstLine="720"/>
        <w:jc w:val="both"/>
      </w:pPr>
      <w:r w:rsidRPr="0004124E">
        <w:rPr>
          <w:i/>
          <w:iCs/>
        </w:rPr>
        <w:t>The Freedom of Movement</w:t>
      </w:r>
      <w:r w:rsidRPr="0004124E">
        <w:t xml:space="preserve">. Durham, NC: Duke University Press,2010. </w:t>
      </w:r>
    </w:p>
    <w:p w14:paraId="04FC7D55" w14:textId="77777777" w:rsidR="005703B0" w:rsidRPr="0004124E" w:rsidRDefault="005703B0" w:rsidP="00F0717A">
      <w:pPr>
        <w:spacing w:line="480" w:lineRule="auto"/>
        <w:jc w:val="both"/>
        <w:rPr>
          <w:shd w:val="clear" w:color="auto" w:fill="FFFFFF"/>
        </w:rPr>
      </w:pPr>
      <w:r w:rsidRPr="0004124E">
        <w:rPr>
          <w:shd w:val="clear" w:color="auto" w:fill="FFFFFF"/>
        </w:rPr>
        <w:t>Desmond, M., &amp; Valdez, N. “Unpolicing the Urban Poor: Consequences of Third-Party Policing</w:t>
      </w:r>
    </w:p>
    <w:p w14:paraId="4BE64068" w14:textId="69F9E294" w:rsidR="005703B0" w:rsidRPr="0004124E" w:rsidRDefault="005703B0" w:rsidP="00F0717A">
      <w:pPr>
        <w:spacing w:line="480" w:lineRule="auto"/>
        <w:ind w:firstLine="720"/>
        <w:jc w:val="both"/>
        <w:rPr>
          <w:shd w:val="clear" w:color="auto" w:fill="FFFFFF"/>
        </w:rPr>
      </w:pPr>
      <w:r w:rsidRPr="0004124E">
        <w:rPr>
          <w:shd w:val="clear" w:color="auto" w:fill="FFFFFF"/>
        </w:rPr>
        <w:t>for Inner-City Women.</w:t>
      </w:r>
      <w:r w:rsidRPr="0004124E">
        <w:rPr>
          <w:rStyle w:val="apple-converted-space"/>
          <w:i/>
          <w:iCs/>
          <w:shd w:val="clear" w:color="auto" w:fill="FFFFFF"/>
        </w:rPr>
        <w:t> </w:t>
      </w:r>
      <w:r w:rsidRPr="0004124E">
        <w:rPr>
          <w:i/>
          <w:iCs/>
          <w:shd w:val="clear" w:color="auto" w:fill="FFFFFF"/>
        </w:rPr>
        <w:t>American Sociological Review,</w:t>
      </w:r>
      <w:r w:rsidRPr="0004124E">
        <w:rPr>
          <w:rStyle w:val="apple-converted-space"/>
          <w:i/>
          <w:iCs/>
          <w:shd w:val="clear" w:color="auto" w:fill="FFFFFF"/>
        </w:rPr>
        <w:t> </w:t>
      </w:r>
      <w:r w:rsidRPr="0004124E">
        <w:rPr>
          <w:i/>
          <w:iCs/>
          <w:shd w:val="clear" w:color="auto" w:fill="FFFFFF"/>
        </w:rPr>
        <w:t xml:space="preserve">78, </w:t>
      </w:r>
      <w:r w:rsidRPr="0004124E">
        <w:rPr>
          <w:shd w:val="clear" w:color="auto" w:fill="FFFFFF"/>
        </w:rPr>
        <w:t xml:space="preserve">1,(2013): 117-141. </w:t>
      </w:r>
    </w:p>
    <w:p w14:paraId="3FD28D37" w14:textId="77777777" w:rsidR="000F4977" w:rsidRPr="0004124E" w:rsidRDefault="000F4977" w:rsidP="00F0717A">
      <w:pPr>
        <w:spacing w:line="480" w:lineRule="auto"/>
        <w:jc w:val="both"/>
      </w:pPr>
      <w:r w:rsidRPr="0004124E">
        <w:t>Eagly, Ingrid V. “Criminal Justice for Noncitizens: An Analysis of Variation in Local</w:t>
      </w:r>
    </w:p>
    <w:p w14:paraId="0B804A28" w14:textId="77777777" w:rsidR="000F4977" w:rsidRPr="0004124E" w:rsidRDefault="000F4977" w:rsidP="00F0717A">
      <w:pPr>
        <w:spacing w:line="480" w:lineRule="auto"/>
        <w:ind w:firstLine="720"/>
        <w:jc w:val="both"/>
      </w:pPr>
      <w:r w:rsidRPr="0004124E">
        <w:t xml:space="preserve">Enforcement.” </w:t>
      </w:r>
      <w:r w:rsidRPr="0004124E">
        <w:rPr>
          <w:i/>
          <w:iCs/>
        </w:rPr>
        <w:t>New York University Law Review</w:t>
      </w:r>
      <w:r w:rsidRPr="0004124E">
        <w:rPr>
          <w:iCs/>
        </w:rPr>
        <w:t>88</w:t>
      </w:r>
      <w:r w:rsidRPr="0004124E">
        <w:t>, no. 4 (2013):1126-1223.</w:t>
      </w:r>
    </w:p>
    <w:p w14:paraId="53A98578" w14:textId="6DD1A04C" w:rsidR="000F4977" w:rsidRPr="0004124E" w:rsidRDefault="000F4977" w:rsidP="00F0717A">
      <w:pPr>
        <w:spacing w:line="480" w:lineRule="auto"/>
        <w:jc w:val="both"/>
      </w:pPr>
      <w:r w:rsidRPr="00866B7B">
        <w:rPr>
          <w:lang w:val="es-MX"/>
        </w:rPr>
        <w:t>García Hernández, C</w:t>
      </w:r>
      <w:r w:rsidR="003527E7" w:rsidRPr="007705B1">
        <w:rPr>
          <w:lang w:val="es-MX"/>
        </w:rPr>
        <w:t>.</w:t>
      </w:r>
      <w:r w:rsidRPr="007705B1">
        <w:rPr>
          <w:lang w:val="es-MX"/>
        </w:rPr>
        <w:t>C</w:t>
      </w:r>
      <w:r w:rsidR="003527E7" w:rsidRPr="007705B1">
        <w:rPr>
          <w:lang w:val="es-MX"/>
        </w:rPr>
        <w:t xml:space="preserve">. </w:t>
      </w:r>
      <w:r w:rsidRPr="007705B1">
        <w:rPr>
          <w:lang w:val="es-MX"/>
        </w:rPr>
        <w:t xml:space="preserve">“PEP Vs. </w:t>
      </w:r>
      <w:r w:rsidRPr="0004124E">
        <w:t xml:space="preserve">Secure Communities.”crImmigration: The </w:t>
      </w:r>
    </w:p>
    <w:p w14:paraId="29723B7D" w14:textId="085A2608" w:rsidR="000F4977" w:rsidRPr="0004124E" w:rsidRDefault="000F4977" w:rsidP="00F0717A">
      <w:pPr>
        <w:spacing w:line="480" w:lineRule="auto"/>
        <w:ind w:left="720"/>
        <w:jc w:val="both"/>
      </w:pPr>
      <w:r w:rsidRPr="0004124E">
        <w:t>Intersectionality of Criminal Law and Immigration Law.</w:t>
      </w:r>
      <w:r w:rsidRPr="0004124E">
        <w:rPr>
          <w:i/>
        </w:rPr>
        <w:t xml:space="preserve"> </w:t>
      </w:r>
      <w:r w:rsidRPr="0004124E">
        <w:t xml:space="preserve">Accessed December 28, 2016. </w:t>
      </w:r>
      <w:hyperlink r:id="rId10" w:history="1">
        <w:r w:rsidRPr="0004124E">
          <w:rPr>
            <w:rStyle w:val="Hyperlink"/>
          </w:rPr>
          <w:t>http://crimmigration.com/2015/07/07/pep-vs-secure-communities/</w:t>
        </w:r>
      </w:hyperlink>
      <w:r w:rsidRPr="0004124E">
        <w:t>.</w:t>
      </w:r>
    </w:p>
    <w:p w14:paraId="06E4B4C6" w14:textId="77777777" w:rsidR="003527E7" w:rsidRPr="0004124E" w:rsidRDefault="003527E7" w:rsidP="00F0717A">
      <w:pPr>
        <w:spacing w:line="480" w:lineRule="auto"/>
        <w:jc w:val="both"/>
        <w:rPr>
          <w:i/>
          <w:iCs/>
          <w:shd w:val="clear" w:color="auto" w:fill="FFFFFF"/>
        </w:rPr>
      </w:pPr>
      <w:r w:rsidRPr="0004124E">
        <w:rPr>
          <w:shd w:val="clear" w:color="auto" w:fill="FFFFFF"/>
        </w:rPr>
        <w:t>Goffman, A.  "On the Run: Wanted Men in a Philadelphia Ghetto."</w:t>
      </w:r>
      <w:r w:rsidRPr="0004124E">
        <w:rPr>
          <w:rStyle w:val="apple-converted-space"/>
          <w:shd w:val="clear" w:color="auto" w:fill="FFFFFF"/>
        </w:rPr>
        <w:t> </w:t>
      </w:r>
      <w:r w:rsidRPr="0004124E">
        <w:rPr>
          <w:i/>
          <w:iCs/>
          <w:shd w:val="clear" w:color="auto" w:fill="FFFFFF"/>
        </w:rPr>
        <w:t>American Sociological</w:t>
      </w:r>
    </w:p>
    <w:p w14:paraId="0571BF07" w14:textId="4E900FFD" w:rsidR="003527E7" w:rsidRPr="0004124E" w:rsidRDefault="003527E7" w:rsidP="00F0717A">
      <w:pPr>
        <w:spacing w:line="480" w:lineRule="auto"/>
        <w:ind w:firstLine="720"/>
        <w:jc w:val="both"/>
        <w:rPr>
          <w:i/>
        </w:rPr>
      </w:pPr>
      <w:r w:rsidRPr="0004124E">
        <w:rPr>
          <w:i/>
          <w:iCs/>
          <w:shd w:val="clear" w:color="auto" w:fill="FFFFFF"/>
        </w:rPr>
        <w:lastRenderedPageBreak/>
        <w:t>Review</w:t>
      </w:r>
      <w:r w:rsidRPr="0004124E">
        <w:rPr>
          <w:rStyle w:val="apple-converted-space"/>
          <w:shd w:val="clear" w:color="auto" w:fill="FFFFFF"/>
        </w:rPr>
        <w:t> </w:t>
      </w:r>
      <w:r w:rsidRPr="0004124E">
        <w:rPr>
          <w:shd w:val="clear" w:color="auto" w:fill="FFFFFF"/>
        </w:rPr>
        <w:t>74, 3, (2009): 339-357.</w:t>
      </w:r>
    </w:p>
    <w:p w14:paraId="678791B8" w14:textId="77777777" w:rsidR="003527E7" w:rsidRPr="0004124E" w:rsidRDefault="000F4977" w:rsidP="00F0717A">
      <w:pPr>
        <w:spacing w:line="480" w:lineRule="auto"/>
        <w:jc w:val="both"/>
        <w:rPr>
          <w:i/>
          <w:iCs/>
        </w:rPr>
      </w:pPr>
      <w:r w:rsidRPr="0004124E">
        <w:t>Golash-Boza, T</w:t>
      </w:r>
      <w:r w:rsidR="003527E7" w:rsidRPr="0004124E">
        <w:t xml:space="preserve">. </w:t>
      </w:r>
      <w:r w:rsidR="003527E7" w:rsidRPr="0004124E">
        <w:rPr>
          <w:i/>
          <w:iCs/>
        </w:rPr>
        <w:t>Due Process Denied: Detentions and Deportations in the United</w:t>
      </w:r>
    </w:p>
    <w:p w14:paraId="56EE1E7A" w14:textId="77777777" w:rsidR="003527E7" w:rsidRPr="0004124E" w:rsidRDefault="003527E7" w:rsidP="00F0717A">
      <w:pPr>
        <w:spacing w:line="480" w:lineRule="auto"/>
        <w:ind w:firstLine="720"/>
        <w:jc w:val="both"/>
      </w:pPr>
      <w:r w:rsidRPr="0004124E">
        <w:rPr>
          <w:i/>
          <w:iCs/>
        </w:rPr>
        <w:t>States</w:t>
      </w:r>
      <w:r w:rsidRPr="0004124E">
        <w:t>. New York:Routledge.2012.</w:t>
      </w:r>
    </w:p>
    <w:p w14:paraId="3136F757" w14:textId="7CDF315D" w:rsidR="003527E7" w:rsidRPr="0004124E" w:rsidRDefault="003527E7" w:rsidP="00F0717A">
      <w:pPr>
        <w:spacing w:line="480" w:lineRule="auto"/>
        <w:jc w:val="both"/>
      </w:pPr>
      <w:r w:rsidRPr="0004124E">
        <w:t xml:space="preserve">_____. </w:t>
      </w:r>
      <w:r w:rsidRPr="0004124E">
        <w:rPr>
          <w:i/>
        </w:rPr>
        <w:t>Deported: Immigration Policing, Disposable Labor and Global Capitalism</w:t>
      </w:r>
      <w:r w:rsidRPr="0004124E">
        <w:t xml:space="preserve">. </w:t>
      </w:r>
    </w:p>
    <w:p w14:paraId="228968C6" w14:textId="1C20F99B" w:rsidR="003527E7" w:rsidRPr="0004124E" w:rsidRDefault="003527E7" w:rsidP="00F0717A">
      <w:pPr>
        <w:spacing w:line="480" w:lineRule="auto"/>
        <w:jc w:val="both"/>
      </w:pPr>
      <w:r w:rsidRPr="0004124E">
        <w:tab/>
        <w:t xml:space="preserve">New York University Press, 2015. </w:t>
      </w:r>
    </w:p>
    <w:p w14:paraId="53AFBCBF" w14:textId="77777777" w:rsidR="000F4977" w:rsidRPr="0004124E" w:rsidRDefault="000F4977" w:rsidP="00F0717A">
      <w:pPr>
        <w:spacing w:line="480" w:lineRule="auto"/>
        <w:jc w:val="both"/>
      </w:pPr>
      <w:r w:rsidRPr="0004124E">
        <w:t>Guiraudon, Virginie, and Gallya Lahav. “A Reappraisal of the State Sovereignty Debate the</w:t>
      </w:r>
    </w:p>
    <w:p w14:paraId="17E8BF02" w14:textId="77777777" w:rsidR="000F4977" w:rsidRPr="0004124E" w:rsidRDefault="000F4977" w:rsidP="00F0717A">
      <w:pPr>
        <w:spacing w:line="480" w:lineRule="auto"/>
        <w:ind w:firstLine="720"/>
        <w:jc w:val="both"/>
      </w:pPr>
      <w:r w:rsidRPr="0004124E">
        <w:t>Case of  Migration Control.” </w:t>
      </w:r>
      <w:r w:rsidRPr="0004124E">
        <w:rPr>
          <w:i/>
          <w:iCs/>
        </w:rPr>
        <w:t>Comparative Political Studies</w:t>
      </w:r>
      <w:r w:rsidRPr="0004124E">
        <w:rPr>
          <w:iCs/>
        </w:rPr>
        <w:t xml:space="preserve"> 33</w:t>
      </w:r>
      <w:r w:rsidRPr="0004124E">
        <w:t>, </w:t>
      </w:r>
      <w:r w:rsidRPr="0004124E">
        <w:rPr>
          <w:iCs/>
        </w:rPr>
        <w:t>no.</w:t>
      </w:r>
      <w:r w:rsidRPr="0004124E">
        <w:t>2 (2000), 163-195.</w:t>
      </w:r>
    </w:p>
    <w:p w14:paraId="56F47E7A" w14:textId="77777777" w:rsidR="000F4977" w:rsidRPr="0004124E" w:rsidRDefault="000F4977" w:rsidP="00F0717A">
      <w:pPr>
        <w:spacing w:line="480" w:lineRule="auto"/>
        <w:ind w:firstLine="720"/>
        <w:jc w:val="both"/>
      </w:pPr>
      <w:r w:rsidRPr="0004124E">
        <w:t>doi: 10.1177/0010414000033002001</w:t>
      </w:r>
    </w:p>
    <w:p w14:paraId="7CA4E47C" w14:textId="77777777" w:rsidR="000F4977" w:rsidRPr="0004124E" w:rsidRDefault="000F4977" w:rsidP="00F0717A">
      <w:pPr>
        <w:spacing w:line="480" w:lineRule="auto"/>
        <w:jc w:val="both"/>
      </w:pPr>
      <w:r w:rsidRPr="0004124E">
        <w:t xml:space="preserve">Hagan, John, and Alberto Palloni.“Sociological Criminology and the Mythology of Hispanic </w:t>
      </w:r>
    </w:p>
    <w:p w14:paraId="5CDE64E7" w14:textId="77777777" w:rsidR="000F4977" w:rsidRPr="0004124E" w:rsidRDefault="000F4977" w:rsidP="00F0717A">
      <w:pPr>
        <w:spacing w:line="480" w:lineRule="auto"/>
        <w:ind w:firstLine="720"/>
        <w:jc w:val="both"/>
      </w:pPr>
      <w:r w:rsidRPr="0004124E">
        <w:t>Immigration and Crime.” </w:t>
      </w:r>
      <w:r w:rsidRPr="0004124E">
        <w:rPr>
          <w:i/>
          <w:iCs/>
        </w:rPr>
        <w:t>Social Problems</w:t>
      </w:r>
      <w:r w:rsidRPr="0004124E">
        <w:rPr>
          <w:iCs/>
        </w:rPr>
        <w:t xml:space="preserve"> 46</w:t>
      </w:r>
      <w:r w:rsidRPr="0004124E">
        <w:t>, </w:t>
      </w:r>
      <w:r w:rsidRPr="0004124E">
        <w:rPr>
          <w:iCs/>
        </w:rPr>
        <w:t xml:space="preserve">no. </w:t>
      </w:r>
      <w:r w:rsidRPr="0004124E">
        <w:t>4 (1999):617-632.</w:t>
      </w:r>
    </w:p>
    <w:p w14:paraId="5AD1D57F" w14:textId="77777777" w:rsidR="000F4977" w:rsidRPr="0004124E" w:rsidRDefault="000F4977" w:rsidP="00F0717A">
      <w:pPr>
        <w:spacing w:line="480" w:lineRule="auto"/>
        <w:ind w:firstLine="720"/>
        <w:jc w:val="both"/>
      </w:pPr>
      <w:r w:rsidRPr="0004124E">
        <w:t>doi:10.2307/3097078</w:t>
      </w:r>
    </w:p>
    <w:p w14:paraId="3EF85256" w14:textId="77777777" w:rsidR="000F4977" w:rsidRPr="0004124E" w:rsidRDefault="000F4977" w:rsidP="00F0717A">
      <w:pPr>
        <w:spacing w:line="480" w:lineRule="auto"/>
        <w:jc w:val="both"/>
      </w:pPr>
      <w:r w:rsidRPr="0004124E">
        <w:t>Herbert, Steve.“Police Subculture Reconsidered.” </w:t>
      </w:r>
      <w:r w:rsidRPr="0004124E">
        <w:rPr>
          <w:i/>
          <w:iCs/>
        </w:rPr>
        <w:t>Criminology</w:t>
      </w:r>
      <w:r w:rsidRPr="0004124E">
        <w:t>36, no.2 (1998):343-370.</w:t>
      </w:r>
    </w:p>
    <w:p w14:paraId="391C80C0" w14:textId="38A66A53" w:rsidR="000F4977" w:rsidRPr="0004124E" w:rsidRDefault="000F4977" w:rsidP="00F0717A">
      <w:pPr>
        <w:spacing w:line="480" w:lineRule="auto"/>
        <w:jc w:val="both"/>
      </w:pPr>
      <w:r w:rsidRPr="0004124E">
        <w:t>Heyman, Josiah</w:t>
      </w:r>
      <w:r w:rsidR="001E148E" w:rsidRPr="0004124E">
        <w:t xml:space="preserve"> M.</w:t>
      </w:r>
      <w:r w:rsidRPr="0004124E">
        <w:t>. “Human Rights and Social Justice Briefing 1: Arizona’s Immigration Law</w:t>
      </w:r>
    </w:p>
    <w:p w14:paraId="1584140E" w14:textId="17DF804F" w:rsidR="000F4977" w:rsidRPr="0004124E" w:rsidRDefault="000F4977" w:rsidP="00F0717A">
      <w:pPr>
        <w:spacing w:line="480" w:lineRule="auto"/>
        <w:ind w:firstLine="720"/>
        <w:jc w:val="both"/>
      </w:pPr>
      <w:r w:rsidRPr="0004124E">
        <w:t>S.B.1070.”</w:t>
      </w:r>
      <w:r w:rsidRPr="0004124E">
        <w:rPr>
          <w:i/>
        </w:rPr>
        <w:t xml:space="preserve"> Society of Applied Anthropology</w:t>
      </w:r>
      <w:r w:rsidRPr="0004124E">
        <w:t xml:space="preserve"> 21, no. 3 (2010).</w:t>
      </w:r>
    </w:p>
    <w:p w14:paraId="43290534" w14:textId="77777777" w:rsidR="001E148E" w:rsidRPr="0004124E" w:rsidRDefault="001E148E" w:rsidP="00F0717A">
      <w:pPr>
        <w:spacing w:line="480" w:lineRule="auto"/>
        <w:jc w:val="both"/>
      </w:pPr>
      <w:r w:rsidRPr="0004124E">
        <w:t xml:space="preserve">_____. “”Illegality” at the U.S.-Mexico Border: How it Produced and Resisted. In Cecilia </w:t>
      </w:r>
    </w:p>
    <w:p w14:paraId="7792204E" w14:textId="77777777" w:rsidR="001E148E" w:rsidRPr="0004124E" w:rsidRDefault="001E148E" w:rsidP="00F0717A">
      <w:pPr>
        <w:spacing w:line="480" w:lineRule="auto"/>
        <w:jc w:val="both"/>
        <w:rPr>
          <w:i/>
        </w:rPr>
      </w:pPr>
      <w:r w:rsidRPr="0004124E">
        <w:tab/>
        <w:t xml:space="preserve">Menjívar and Daniel Kanstroom (eds.) </w:t>
      </w:r>
      <w:r w:rsidRPr="0004124E">
        <w:rPr>
          <w:i/>
        </w:rPr>
        <w:t xml:space="preserve">Constructing Immigrant “Illegality”: Critiques, </w:t>
      </w:r>
    </w:p>
    <w:p w14:paraId="744A0B99" w14:textId="110ADE46" w:rsidR="001E148E" w:rsidRPr="0004124E" w:rsidRDefault="001E148E" w:rsidP="00F0717A">
      <w:pPr>
        <w:spacing w:line="480" w:lineRule="auto"/>
        <w:jc w:val="both"/>
        <w:rPr>
          <w:i/>
        </w:rPr>
      </w:pPr>
      <w:r w:rsidRPr="0004124E">
        <w:rPr>
          <w:i/>
        </w:rPr>
        <w:tab/>
        <w:t>Experiences, and Responses</w:t>
      </w:r>
      <w:r w:rsidRPr="0004124E">
        <w:t xml:space="preserve">. Cambridge University Presss (2014). </w:t>
      </w:r>
    </w:p>
    <w:p w14:paraId="07020973" w14:textId="77777777" w:rsidR="000F4977" w:rsidRPr="0004124E" w:rsidRDefault="000F4977" w:rsidP="00F0717A">
      <w:pPr>
        <w:spacing w:line="480" w:lineRule="auto"/>
        <w:jc w:val="both"/>
      </w:pPr>
      <w:r w:rsidRPr="0004124E">
        <w:t>Hox, Joop. J. </w:t>
      </w:r>
      <w:r w:rsidRPr="0004124E">
        <w:rPr>
          <w:i/>
          <w:iCs/>
        </w:rPr>
        <w:t>Multilevel Analysis: Techniques and Applications</w:t>
      </w:r>
      <w:r w:rsidRPr="0004124E">
        <w:t>. New York, NY: Routledge.2010</w:t>
      </w:r>
    </w:p>
    <w:p w14:paraId="74312244" w14:textId="77777777" w:rsidR="000F4977" w:rsidRPr="0004124E" w:rsidRDefault="000F4977" w:rsidP="00F0717A">
      <w:pPr>
        <w:spacing w:line="480" w:lineRule="auto"/>
        <w:jc w:val="both"/>
        <w:rPr>
          <w:i/>
          <w:iCs/>
        </w:rPr>
      </w:pPr>
      <w:r w:rsidRPr="0004124E">
        <w:t>Kennis, Andrew. “Latinos Continue to Be (Illegally) Told,‘Show Me Your Papers.’”. </w:t>
      </w:r>
      <w:r w:rsidRPr="0004124E">
        <w:rPr>
          <w:i/>
          <w:iCs/>
        </w:rPr>
        <w:t>Alternet.</w:t>
      </w:r>
    </w:p>
    <w:p w14:paraId="1BFC9253" w14:textId="77777777" w:rsidR="000F4977" w:rsidRPr="0004124E" w:rsidRDefault="000F4977" w:rsidP="00F0717A">
      <w:pPr>
        <w:spacing w:line="480" w:lineRule="auto"/>
        <w:ind w:firstLine="720"/>
        <w:jc w:val="both"/>
      </w:pPr>
      <w:r w:rsidRPr="0004124E">
        <w:rPr>
          <w:iCs/>
        </w:rPr>
        <w:t>Accessed September</w:t>
      </w:r>
      <w:r w:rsidRPr="0004124E">
        <w:t>, </w:t>
      </w:r>
      <w:r w:rsidRPr="0004124E">
        <w:rPr>
          <w:iCs/>
        </w:rPr>
        <w:t>27,2016</w:t>
      </w:r>
      <w:r w:rsidRPr="0004124E">
        <w:t>http://www.alternet.org/story/152400/latinos_continue_to_</w:t>
      </w:r>
    </w:p>
    <w:p w14:paraId="43864B26" w14:textId="77777777" w:rsidR="000F4977" w:rsidRPr="0004124E" w:rsidRDefault="000F4977" w:rsidP="00F0717A">
      <w:pPr>
        <w:spacing w:line="480" w:lineRule="auto"/>
        <w:ind w:firstLine="720"/>
        <w:jc w:val="both"/>
      </w:pPr>
      <w:r w:rsidRPr="0004124E">
        <w:t>be_(illegally)_told,_'show_me_your_papers!'</w:t>
      </w:r>
    </w:p>
    <w:p w14:paraId="11FDD835" w14:textId="77777777" w:rsidR="000F4977" w:rsidRPr="0004124E" w:rsidRDefault="000F4977" w:rsidP="00F0717A">
      <w:pPr>
        <w:spacing w:line="480" w:lineRule="auto"/>
        <w:jc w:val="both"/>
        <w:rPr>
          <w:i/>
          <w:iCs/>
        </w:rPr>
      </w:pPr>
      <w:r w:rsidRPr="0004124E">
        <w:t>Khashu, Anita, Robin Busch, Zainab Latif, and Francisco Levy. </w:t>
      </w:r>
      <w:r w:rsidRPr="0004124E">
        <w:rPr>
          <w:i/>
          <w:iCs/>
        </w:rPr>
        <w:t>Building Strong Police</w:t>
      </w:r>
    </w:p>
    <w:p w14:paraId="525C3634" w14:textId="77777777" w:rsidR="000F4977" w:rsidRPr="0004124E" w:rsidRDefault="000F4977" w:rsidP="00F0717A">
      <w:pPr>
        <w:spacing w:line="480" w:lineRule="auto"/>
        <w:ind w:firstLine="720"/>
        <w:jc w:val="both"/>
      </w:pPr>
      <w:r w:rsidRPr="0004124E">
        <w:rPr>
          <w:i/>
          <w:iCs/>
        </w:rPr>
        <w:t>Immigrant Community Relations: Lessons from a New York City project</w:t>
      </w:r>
      <w:r w:rsidRPr="0004124E">
        <w:t>. New York, NY:</w:t>
      </w:r>
    </w:p>
    <w:p w14:paraId="369857A3" w14:textId="77777777" w:rsidR="000F4977" w:rsidRPr="0004124E" w:rsidRDefault="000F4977" w:rsidP="00F0717A">
      <w:pPr>
        <w:spacing w:line="480" w:lineRule="auto"/>
        <w:ind w:firstLine="720"/>
        <w:jc w:val="both"/>
        <w:rPr>
          <w:i/>
          <w:iCs/>
        </w:rPr>
      </w:pPr>
      <w:r w:rsidRPr="0004124E">
        <w:lastRenderedPageBreak/>
        <w:t>Vera</w:t>
      </w:r>
      <w:r w:rsidRPr="0004124E">
        <w:rPr>
          <w:i/>
          <w:iCs/>
        </w:rPr>
        <w:t xml:space="preserve"> </w:t>
      </w:r>
      <w:r w:rsidRPr="0004124E">
        <w:t>Institute of Justice, 2005.</w:t>
      </w:r>
    </w:p>
    <w:p w14:paraId="0D66CD87" w14:textId="77777777" w:rsidR="000F4977" w:rsidRPr="0004124E" w:rsidRDefault="000F4977" w:rsidP="00F0717A">
      <w:pPr>
        <w:spacing w:line="480" w:lineRule="auto"/>
        <w:jc w:val="both"/>
      </w:pPr>
      <w:r w:rsidRPr="0004124E">
        <w:t xml:space="preserve">Kubrin, Charis E., and Hiromi Ishizawa. “Why Some Immigrant Neighborhoods Are Safer than </w:t>
      </w:r>
    </w:p>
    <w:p w14:paraId="3BE76832" w14:textId="77777777" w:rsidR="000F4977" w:rsidRPr="0004124E" w:rsidRDefault="000F4977" w:rsidP="00F0717A">
      <w:pPr>
        <w:spacing w:line="480" w:lineRule="auto"/>
        <w:ind w:left="720"/>
        <w:jc w:val="both"/>
      </w:pPr>
      <w:r w:rsidRPr="0004124E">
        <w:t>Others Divergent Findings from Los Angeles and Chicago”. </w:t>
      </w:r>
      <w:r w:rsidRPr="0004124E">
        <w:rPr>
          <w:i/>
          <w:iCs/>
        </w:rPr>
        <w:t>The ANNALS of the American Academy of Political and Social Science</w:t>
      </w:r>
      <w:r w:rsidRPr="0004124E">
        <w:rPr>
          <w:iCs/>
        </w:rPr>
        <w:t xml:space="preserve"> 641</w:t>
      </w:r>
      <w:r w:rsidRPr="0004124E">
        <w:t>, </w:t>
      </w:r>
      <w:r w:rsidRPr="0004124E">
        <w:rPr>
          <w:iCs/>
        </w:rPr>
        <w:t>no.</w:t>
      </w:r>
      <w:r w:rsidRPr="0004124E">
        <w:t>1 (2012): 148-173.</w:t>
      </w:r>
    </w:p>
    <w:p w14:paraId="6BA6BE50" w14:textId="77777777" w:rsidR="000F4977" w:rsidRPr="0004124E" w:rsidRDefault="000F4977" w:rsidP="00F0717A">
      <w:pPr>
        <w:spacing w:line="480" w:lineRule="auto"/>
        <w:jc w:val="both"/>
      </w:pPr>
      <w:r w:rsidRPr="0004124E">
        <w:t>Lewis, Paul G., and S. Karthick Ramakrishnan.“Police Practices in Immigrant-Destination Cities</w:t>
      </w:r>
    </w:p>
    <w:p w14:paraId="76DFFB05" w14:textId="77777777" w:rsidR="000F4977" w:rsidRPr="0004124E" w:rsidRDefault="000F4977" w:rsidP="00F0717A">
      <w:pPr>
        <w:spacing w:line="480" w:lineRule="auto"/>
        <w:ind w:firstLine="720"/>
        <w:jc w:val="both"/>
      </w:pPr>
      <w:r w:rsidRPr="0004124E">
        <w:t>Political Control or Bureaucratic Professionalism?.” </w:t>
      </w:r>
      <w:r w:rsidRPr="0004124E">
        <w:rPr>
          <w:i/>
          <w:iCs/>
        </w:rPr>
        <w:t>Urban Affairs Review</w:t>
      </w:r>
      <w:r w:rsidRPr="0004124E">
        <w:rPr>
          <w:iCs/>
        </w:rPr>
        <w:t xml:space="preserve"> 42</w:t>
      </w:r>
      <w:r w:rsidRPr="0004124E">
        <w:t>, </w:t>
      </w:r>
      <w:r w:rsidRPr="0004124E">
        <w:rPr>
          <w:iCs/>
        </w:rPr>
        <w:t>no.</w:t>
      </w:r>
      <w:r w:rsidRPr="0004124E">
        <w:t>6</w:t>
      </w:r>
    </w:p>
    <w:p w14:paraId="09ADE7AE" w14:textId="77777777" w:rsidR="000F4977" w:rsidRPr="0004124E" w:rsidRDefault="000F4977" w:rsidP="00F0717A">
      <w:pPr>
        <w:spacing w:line="480" w:lineRule="auto"/>
        <w:ind w:firstLine="720"/>
        <w:jc w:val="both"/>
      </w:pPr>
      <w:r w:rsidRPr="0004124E">
        <w:t>(2007): 874- 900. doi: 10.1177/1078087407300752</w:t>
      </w:r>
    </w:p>
    <w:p w14:paraId="6F9DB13C" w14:textId="77777777" w:rsidR="000F4977" w:rsidRPr="0004124E" w:rsidRDefault="000F4977" w:rsidP="00F0717A">
      <w:pPr>
        <w:spacing w:line="480" w:lineRule="auto"/>
        <w:jc w:val="both"/>
        <w:rPr>
          <w:i/>
          <w:color w:val="222222"/>
          <w:shd w:val="clear" w:color="auto" w:fill="FFFFFF"/>
        </w:rPr>
      </w:pPr>
      <w:r w:rsidRPr="0004124E">
        <w:rPr>
          <w:color w:val="222222"/>
          <w:shd w:val="clear" w:color="auto" w:fill="FFFFFF"/>
        </w:rPr>
        <w:t xml:space="preserve">Lipsky, Michael. "Street-level bureaucracy: The critical role of street-level bureaucrats." </w:t>
      </w:r>
      <w:r w:rsidRPr="0004124E">
        <w:rPr>
          <w:i/>
          <w:color w:val="222222"/>
          <w:shd w:val="clear" w:color="auto" w:fill="FFFFFF"/>
        </w:rPr>
        <w:t>Classics</w:t>
      </w:r>
    </w:p>
    <w:p w14:paraId="0FA53F63" w14:textId="77777777" w:rsidR="000F4977" w:rsidRPr="0004124E" w:rsidRDefault="000F4977" w:rsidP="00F0717A">
      <w:pPr>
        <w:spacing w:line="480" w:lineRule="auto"/>
        <w:ind w:firstLine="720"/>
        <w:jc w:val="both"/>
      </w:pPr>
      <w:r w:rsidRPr="0004124E">
        <w:rPr>
          <w:i/>
          <w:color w:val="222222"/>
          <w:shd w:val="clear" w:color="auto" w:fill="FFFFFF"/>
        </w:rPr>
        <w:t>of Public Administration</w:t>
      </w:r>
      <w:r w:rsidRPr="0004124E">
        <w:rPr>
          <w:color w:val="222222"/>
          <w:shd w:val="clear" w:color="auto" w:fill="FFFFFF"/>
        </w:rPr>
        <w:t xml:space="preserve"> (1980): 414-422. </w:t>
      </w:r>
    </w:p>
    <w:p w14:paraId="517D84B7" w14:textId="77777777" w:rsidR="000F4977" w:rsidRPr="0004124E" w:rsidRDefault="000F4977" w:rsidP="00F0717A">
      <w:pPr>
        <w:spacing w:line="480" w:lineRule="auto"/>
        <w:jc w:val="both"/>
      </w:pPr>
      <w:r w:rsidRPr="0004124E">
        <w:t>Longazel, Jamie G. “Moral Panic as Racial Degradation Ceremony: Racial Stratification and</w:t>
      </w:r>
    </w:p>
    <w:p w14:paraId="575952D2" w14:textId="77777777" w:rsidR="000F4977" w:rsidRPr="0004124E" w:rsidRDefault="000F4977" w:rsidP="00F0717A">
      <w:pPr>
        <w:spacing w:line="480" w:lineRule="auto"/>
        <w:ind w:left="720"/>
        <w:jc w:val="both"/>
      </w:pPr>
      <w:r w:rsidRPr="0004124E">
        <w:t>the Local-Level Backlash Against Latino/a Immigrants.” </w:t>
      </w:r>
      <w:r w:rsidRPr="0004124E">
        <w:rPr>
          <w:i/>
          <w:iCs/>
        </w:rPr>
        <w:t>Punishment &amp; Society</w:t>
      </w:r>
      <w:r w:rsidRPr="0004124E">
        <w:rPr>
          <w:iCs/>
        </w:rPr>
        <w:t>15</w:t>
      </w:r>
      <w:r w:rsidRPr="0004124E">
        <w:t>, </w:t>
      </w:r>
      <w:r w:rsidRPr="0004124E">
        <w:rPr>
          <w:iCs/>
        </w:rPr>
        <w:t>no.</w:t>
      </w:r>
      <w:r w:rsidRPr="0004124E">
        <w:t>1 (2013): 96-119. doi: 10.1177/1462474512466200</w:t>
      </w:r>
    </w:p>
    <w:p w14:paraId="18CB232D" w14:textId="77777777" w:rsidR="000F4977" w:rsidRPr="0004124E" w:rsidRDefault="000F4977" w:rsidP="00F0717A">
      <w:pPr>
        <w:spacing w:line="480" w:lineRule="auto"/>
        <w:jc w:val="both"/>
        <w:rPr>
          <w:rStyle w:val="SubtleEmphasis"/>
          <w:i w:val="0"/>
        </w:rPr>
      </w:pPr>
      <w:r w:rsidRPr="00091A12">
        <w:t>Martin, Monica J., Bill McCarthy, Rand D. Conger, Frederick X. Gibbons, Ronald L. Simons,</w:t>
      </w:r>
    </w:p>
    <w:p w14:paraId="44112381" w14:textId="77777777" w:rsidR="000F4977" w:rsidRPr="0004124E" w:rsidRDefault="000F4977" w:rsidP="00F0717A">
      <w:pPr>
        <w:spacing w:line="480" w:lineRule="auto"/>
        <w:ind w:firstLine="720"/>
        <w:jc w:val="both"/>
      </w:pPr>
      <w:r w:rsidRPr="0004124E">
        <w:rPr>
          <w:rStyle w:val="SubtleEmphasis"/>
        </w:rPr>
        <w:t>Carolyn E.</w:t>
      </w:r>
      <w:r w:rsidRPr="0004124E">
        <w:t xml:space="preserve"> Cutrona, and Gene H. Brody. “The Enduring Significance of Racism:</w:t>
      </w:r>
    </w:p>
    <w:p w14:paraId="608BE181" w14:textId="77777777" w:rsidR="000F4977" w:rsidRPr="0004124E" w:rsidRDefault="000F4977" w:rsidP="00F0717A">
      <w:pPr>
        <w:spacing w:line="480" w:lineRule="auto"/>
        <w:ind w:left="720"/>
        <w:jc w:val="both"/>
      </w:pPr>
      <w:r w:rsidRPr="0004124E">
        <w:t>Discrimination and Delinquency Among Black American Youth.” </w:t>
      </w:r>
      <w:r w:rsidRPr="0004124E">
        <w:rPr>
          <w:i/>
          <w:iCs/>
        </w:rPr>
        <w:t>Journal of Research on Adolescence</w:t>
      </w:r>
      <w:r w:rsidRPr="0004124E">
        <w:rPr>
          <w:iCs/>
        </w:rPr>
        <w:t xml:space="preserve"> 2</w:t>
      </w:r>
      <w:r w:rsidRPr="0004124E">
        <w:t>, </w:t>
      </w:r>
      <w:r w:rsidRPr="0004124E">
        <w:rPr>
          <w:iCs/>
        </w:rPr>
        <w:t>no.</w:t>
      </w:r>
      <w:r w:rsidRPr="0004124E">
        <w:t>3 (2011), 662-676. doi: 10.1111/j.1532-7795.2010.00699.x</w:t>
      </w:r>
    </w:p>
    <w:p w14:paraId="7157034D" w14:textId="77777777" w:rsidR="000F4977" w:rsidRPr="0004124E" w:rsidRDefault="000F4977" w:rsidP="00F0717A">
      <w:pPr>
        <w:spacing w:line="480" w:lineRule="auto"/>
        <w:jc w:val="both"/>
      </w:pPr>
      <w:r w:rsidRPr="0004124E">
        <w:t xml:space="preserve">Martínez, Ramiro. </w:t>
      </w:r>
      <w:r w:rsidRPr="0004124E">
        <w:rPr>
          <w:i/>
          <w:iCs/>
        </w:rPr>
        <w:t>Latino Homicide: Immigration, Violence, and Community</w:t>
      </w:r>
      <w:r w:rsidRPr="0004124E">
        <w:t xml:space="preserve">. New York, NY: </w:t>
      </w:r>
    </w:p>
    <w:p w14:paraId="3226A153" w14:textId="77777777" w:rsidR="000F4977" w:rsidRPr="0004124E" w:rsidRDefault="000F4977" w:rsidP="00F0717A">
      <w:pPr>
        <w:spacing w:line="480" w:lineRule="auto"/>
        <w:ind w:firstLine="720"/>
        <w:jc w:val="both"/>
      </w:pPr>
      <w:r w:rsidRPr="0004124E">
        <w:t xml:space="preserve">Routledge,2002. </w:t>
      </w:r>
    </w:p>
    <w:p w14:paraId="0F07CCD7" w14:textId="77777777" w:rsidR="000F4977" w:rsidRPr="0004124E" w:rsidRDefault="000F4977" w:rsidP="00F0717A">
      <w:pPr>
        <w:spacing w:line="480" w:lineRule="auto"/>
        <w:jc w:val="both"/>
      </w:pPr>
      <w:r w:rsidRPr="0004124E">
        <w:t>Martinez, Ramiro. “The Impact of Immigration Policy on Criminological</w:t>
      </w:r>
    </w:p>
    <w:p w14:paraId="394A05DC" w14:textId="77777777" w:rsidR="000F4977" w:rsidRPr="0004124E" w:rsidRDefault="000F4977" w:rsidP="00F0717A">
      <w:pPr>
        <w:spacing w:line="480" w:lineRule="auto"/>
        <w:ind w:firstLine="720"/>
        <w:jc w:val="both"/>
      </w:pPr>
      <w:r w:rsidRPr="0004124E">
        <w:t>Research.” </w:t>
      </w:r>
      <w:r w:rsidRPr="0004124E">
        <w:rPr>
          <w:i/>
          <w:iCs/>
        </w:rPr>
        <w:t xml:space="preserve">Criminology &amp; Public Policy </w:t>
      </w:r>
      <w:r w:rsidRPr="0004124E">
        <w:rPr>
          <w:iCs/>
        </w:rPr>
        <w:t>7</w:t>
      </w:r>
      <w:r w:rsidRPr="0004124E">
        <w:t>, </w:t>
      </w:r>
      <w:r w:rsidRPr="0004124E">
        <w:rPr>
          <w:iCs/>
        </w:rPr>
        <w:t>no.</w:t>
      </w:r>
      <w:r w:rsidRPr="0004124E">
        <w:t xml:space="preserve">1 (2008), 53-58. </w:t>
      </w:r>
    </w:p>
    <w:p w14:paraId="67CF93C6" w14:textId="77777777" w:rsidR="000F4977" w:rsidRPr="0004124E" w:rsidRDefault="000F4977" w:rsidP="00F0717A">
      <w:pPr>
        <w:spacing w:line="480" w:lineRule="auto"/>
        <w:ind w:firstLine="720"/>
        <w:jc w:val="both"/>
      </w:pPr>
      <w:r w:rsidRPr="0004124E">
        <w:t>doi: 10.1111/j.1745-9133.2008.00490.x</w:t>
      </w:r>
    </w:p>
    <w:p w14:paraId="2164FE61" w14:textId="77777777" w:rsidR="000F4977" w:rsidRPr="0004124E" w:rsidRDefault="000F4977" w:rsidP="00F0717A">
      <w:pPr>
        <w:spacing w:line="480" w:lineRule="auto"/>
        <w:jc w:val="both"/>
        <w:rPr>
          <w:i/>
        </w:rPr>
      </w:pPr>
      <w:r w:rsidRPr="0004124E">
        <w:t xml:space="preserve">Martinez, Ramiro, and Mathew T. Lee. “ On Immigration and Crime.” </w:t>
      </w:r>
      <w:r w:rsidRPr="0004124E">
        <w:rPr>
          <w:i/>
        </w:rPr>
        <w:t>National Institute</w:t>
      </w:r>
    </w:p>
    <w:p w14:paraId="3A7F94D9" w14:textId="77777777" w:rsidR="000F4977" w:rsidRPr="0004124E" w:rsidRDefault="000F4977" w:rsidP="00F0717A">
      <w:pPr>
        <w:spacing w:line="480" w:lineRule="auto"/>
        <w:ind w:firstLine="720"/>
        <w:jc w:val="both"/>
      </w:pPr>
      <w:r w:rsidRPr="0004124E">
        <w:rPr>
          <w:i/>
        </w:rPr>
        <w:t xml:space="preserve">of Justice Criminal Justice 2000: The Nature of Crime: Continuity and Change </w:t>
      </w:r>
      <w:r w:rsidRPr="0004124E">
        <w:t>1, (2000):</w:t>
      </w:r>
    </w:p>
    <w:p w14:paraId="4B7E18DB" w14:textId="77777777" w:rsidR="000F4977" w:rsidRPr="0004124E" w:rsidRDefault="000F4977" w:rsidP="00F0717A">
      <w:pPr>
        <w:spacing w:line="480" w:lineRule="auto"/>
        <w:ind w:firstLine="720"/>
        <w:jc w:val="both"/>
      </w:pPr>
      <w:r w:rsidRPr="0004124E">
        <w:lastRenderedPageBreak/>
        <w:t>485-524.</w:t>
      </w:r>
    </w:p>
    <w:p w14:paraId="3F8C6319" w14:textId="77777777" w:rsidR="000F4977" w:rsidRPr="0004124E" w:rsidRDefault="000F4977" w:rsidP="00F0717A">
      <w:pPr>
        <w:spacing w:line="480" w:lineRule="auto"/>
        <w:jc w:val="both"/>
      </w:pPr>
      <w:r w:rsidRPr="0004124E">
        <w:t xml:space="preserve">Martinez, Ramiro, and Jacob I. Stowell. “Extending Immigration and Crime Studies National </w:t>
      </w:r>
    </w:p>
    <w:p w14:paraId="07C2923F" w14:textId="77777777" w:rsidR="000F4977" w:rsidRPr="0004124E" w:rsidRDefault="000F4977" w:rsidP="00F0717A">
      <w:pPr>
        <w:spacing w:line="480" w:lineRule="auto"/>
        <w:ind w:firstLine="720"/>
        <w:jc w:val="both"/>
        <w:rPr>
          <w:i/>
          <w:iCs/>
        </w:rPr>
      </w:pPr>
      <w:r w:rsidRPr="0004124E">
        <w:t>Implications and Local Settings.” </w:t>
      </w:r>
      <w:r w:rsidRPr="0004124E">
        <w:rPr>
          <w:i/>
          <w:iCs/>
        </w:rPr>
        <w:t xml:space="preserve">The Annals of the American Academy of Political and </w:t>
      </w:r>
    </w:p>
    <w:p w14:paraId="4E713E66" w14:textId="77777777" w:rsidR="000F4977" w:rsidRPr="00584175" w:rsidRDefault="000F4977" w:rsidP="00F0717A">
      <w:pPr>
        <w:spacing w:line="480" w:lineRule="auto"/>
        <w:ind w:firstLine="720"/>
        <w:jc w:val="both"/>
        <w:rPr>
          <w:lang w:val="es-MX"/>
        </w:rPr>
      </w:pPr>
      <w:r w:rsidRPr="00584175">
        <w:rPr>
          <w:i/>
          <w:iCs/>
          <w:lang w:val="es-MX"/>
        </w:rPr>
        <w:t xml:space="preserve">Social Science </w:t>
      </w:r>
      <w:r w:rsidRPr="00584175">
        <w:rPr>
          <w:iCs/>
          <w:lang w:val="es-MX"/>
        </w:rPr>
        <w:t>64</w:t>
      </w:r>
      <w:r w:rsidRPr="00584175">
        <w:rPr>
          <w:lang w:val="es-MX"/>
        </w:rPr>
        <w:t>, no.1 (2012), 174-191. doi: 10.1177/0002716212437363</w:t>
      </w:r>
    </w:p>
    <w:p w14:paraId="69739BC7" w14:textId="77777777" w:rsidR="000F4977" w:rsidRPr="0004124E" w:rsidRDefault="000F4977" w:rsidP="00F0717A">
      <w:pPr>
        <w:spacing w:line="480" w:lineRule="auto"/>
        <w:jc w:val="both"/>
      </w:pPr>
      <w:r w:rsidRPr="00584175">
        <w:rPr>
          <w:lang w:val="es-MX"/>
        </w:rPr>
        <w:t xml:space="preserve">Martínez, Ramiro, and Abel Valenzuela. </w:t>
      </w:r>
      <w:r w:rsidRPr="0004124E">
        <w:rPr>
          <w:i/>
          <w:iCs/>
        </w:rPr>
        <w:t>Immigration and crime: Race, Ethnicity, and Violence</w:t>
      </w:r>
      <w:r w:rsidRPr="0004124E">
        <w:t>.</w:t>
      </w:r>
    </w:p>
    <w:p w14:paraId="132C2180" w14:textId="77777777" w:rsidR="000F4977" w:rsidRPr="0004124E" w:rsidRDefault="000F4977" w:rsidP="00F0717A">
      <w:pPr>
        <w:spacing w:line="480" w:lineRule="auto"/>
        <w:ind w:firstLine="720"/>
        <w:jc w:val="both"/>
      </w:pPr>
      <w:r w:rsidRPr="0004124E">
        <w:t>New York, NY: NYU Press,2006.</w:t>
      </w:r>
    </w:p>
    <w:p w14:paraId="1F0DD6D0" w14:textId="77777777" w:rsidR="000F4977" w:rsidRPr="0004124E" w:rsidRDefault="000F4977" w:rsidP="00F0717A">
      <w:pPr>
        <w:spacing w:line="480" w:lineRule="auto"/>
        <w:jc w:val="both"/>
      </w:pPr>
      <w:r w:rsidRPr="0004124E">
        <w:t>Menjívar, Cecilia, and Cynthia Bejarano. “Latino Immigrants’ Perceptions of Crime and Police</w:t>
      </w:r>
    </w:p>
    <w:p w14:paraId="70F69C96" w14:textId="77777777" w:rsidR="000F4977" w:rsidRPr="0004124E" w:rsidRDefault="000F4977" w:rsidP="00F0717A">
      <w:pPr>
        <w:spacing w:line="480" w:lineRule="auto"/>
        <w:ind w:firstLine="720"/>
        <w:jc w:val="both"/>
      </w:pPr>
      <w:r w:rsidRPr="0004124E">
        <w:t>Authorities in the United States: A Case Study from the Phoenix Metropolitan</w:t>
      </w:r>
    </w:p>
    <w:p w14:paraId="3FE21B15" w14:textId="77777777" w:rsidR="000F4977" w:rsidRPr="0004124E" w:rsidRDefault="000F4977" w:rsidP="00F0717A">
      <w:pPr>
        <w:spacing w:line="480" w:lineRule="auto"/>
        <w:ind w:left="720"/>
        <w:jc w:val="both"/>
      </w:pPr>
      <w:r w:rsidRPr="0004124E">
        <w:t>Area.” </w:t>
      </w:r>
      <w:r w:rsidRPr="0004124E">
        <w:rPr>
          <w:i/>
          <w:iCs/>
        </w:rPr>
        <w:t xml:space="preserve">Ethnic and Racial Studies </w:t>
      </w:r>
      <w:r w:rsidRPr="0004124E">
        <w:rPr>
          <w:iCs/>
        </w:rPr>
        <w:t>27</w:t>
      </w:r>
      <w:r w:rsidRPr="0004124E">
        <w:t>, no.1 (2004): 120-148.</w:t>
      </w:r>
    </w:p>
    <w:p w14:paraId="6035C061" w14:textId="77777777" w:rsidR="000F4977" w:rsidRPr="00584175" w:rsidRDefault="000F4977" w:rsidP="00F0717A">
      <w:pPr>
        <w:spacing w:line="480" w:lineRule="auto"/>
        <w:ind w:left="720"/>
        <w:jc w:val="both"/>
        <w:rPr>
          <w:lang w:val="es-MX"/>
        </w:rPr>
      </w:pPr>
      <w:r w:rsidRPr="00584175">
        <w:rPr>
          <w:lang w:val="es-MX"/>
        </w:rPr>
        <w:t>doi: 10.1080/0141987032000147968</w:t>
      </w:r>
    </w:p>
    <w:p w14:paraId="09223B95" w14:textId="77777777" w:rsidR="000F4977" w:rsidRPr="0004124E" w:rsidRDefault="000F4977" w:rsidP="00F0717A">
      <w:pPr>
        <w:spacing w:line="480" w:lineRule="auto"/>
        <w:jc w:val="both"/>
      </w:pPr>
      <w:r w:rsidRPr="00584175">
        <w:rPr>
          <w:lang w:val="es-MX"/>
        </w:rPr>
        <w:t xml:space="preserve">Mirandé, Alfredo. </w:t>
      </w:r>
      <w:r w:rsidRPr="00584175">
        <w:rPr>
          <w:i/>
          <w:iCs/>
          <w:lang w:val="es-MX"/>
        </w:rPr>
        <w:t>Gringo justice</w:t>
      </w:r>
      <w:r w:rsidRPr="00584175">
        <w:rPr>
          <w:lang w:val="es-MX"/>
        </w:rPr>
        <w:t xml:space="preserve">. </w:t>
      </w:r>
      <w:r w:rsidRPr="0004124E">
        <w:t xml:space="preserve">Notre Dame, IN: University of Notre Dame Press, 1987. </w:t>
      </w:r>
    </w:p>
    <w:p w14:paraId="01547DA7" w14:textId="77777777" w:rsidR="000F4977" w:rsidRPr="0004124E" w:rsidRDefault="000F4977" w:rsidP="00F0717A">
      <w:pPr>
        <w:spacing w:line="480" w:lineRule="auto"/>
        <w:jc w:val="both"/>
        <w:rPr>
          <w:color w:val="222222"/>
          <w:shd w:val="clear" w:color="auto" w:fill="FFFFFF"/>
        </w:rPr>
      </w:pPr>
      <w:r w:rsidRPr="0004124E">
        <w:rPr>
          <w:color w:val="222222"/>
          <w:shd w:val="clear" w:color="auto" w:fill="FFFFFF"/>
        </w:rPr>
        <w:t>Motomura, Hiroshi. “The Discretion that Matters: Federal Immigration Enforcement, State and</w:t>
      </w:r>
    </w:p>
    <w:p w14:paraId="21651DD3" w14:textId="77777777" w:rsidR="000F4977" w:rsidRPr="0004124E" w:rsidRDefault="000F4977" w:rsidP="00F0717A">
      <w:pPr>
        <w:spacing w:line="480" w:lineRule="auto"/>
        <w:ind w:firstLine="720"/>
        <w:jc w:val="both"/>
        <w:rPr>
          <w:color w:val="222222"/>
          <w:shd w:val="clear" w:color="auto" w:fill="FFFFFF"/>
        </w:rPr>
      </w:pPr>
      <w:r w:rsidRPr="0004124E">
        <w:rPr>
          <w:color w:val="222222"/>
          <w:shd w:val="clear" w:color="auto" w:fill="FFFFFF"/>
        </w:rPr>
        <w:t>Local Arrests, and the Civil-Criminal Line”.</w:t>
      </w:r>
      <w:r w:rsidRPr="0004124E">
        <w:rPr>
          <w:rStyle w:val="apple-converted-space"/>
          <w:color w:val="222222"/>
          <w:shd w:val="clear" w:color="auto" w:fill="FFFFFF"/>
        </w:rPr>
        <w:t> </w:t>
      </w:r>
      <w:r w:rsidRPr="0004124E">
        <w:rPr>
          <w:i/>
          <w:iCs/>
          <w:color w:val="222222"/>
          <w:shd w:val="clear" w:color="auto" w:fill="FFFFFF"/>
        </w:rPr>
        <w:t xml:space="preserve">UCLA Law Review </w:t>
      </w:r>
      <w:r w:rsidRPr="0004124E">
        <w:rPr>
          <w:iCs/>
          <w:color w:val="222222"/>
          <w:shd w:val="clear" w:color="auto" w:fill="FFFFFF"/>
        </w:rPr>
        <w:t>58</w:t>
      </w:r>
      <w:r w:rsidRPr="0004124E">
        <w:rPr>
          <w:color w:val="222222"/>
          <w:shd w:val="clear" w:color="auto" w:fill="FFFFFF"/>
        </w:rPr>
        <w:t>,</w:t>
      </w:r>
      <w:r w:rsidRPr="0004124E">
        <w:rPr>
          <w:rStyle w:val="apple-converted-space"/>
          <w:color w:val="222222"/>
          <w:shd w:val="clear" w:color="auto" w:fill="FFFFFF"/>
        </w:rPr>
        <w:t> </w:t>
      </w:r>
      <w:r w:rsidRPr="0004124E">
        <w:rPr>
          <w:iCs/>
          <w:color w:val="222222"/>
          <w:shd w:val="clear" w:color="auto" w:fill="FFFFFF"/>
        </w:rPr>
        <w:t>(2011):</w:t>
      </w:r>
      <w:r w:rsidRPr="0004124E">
        <w:rPr>
          <w:color w:val="222222"/>
          <w:shd w:val="clear" w:color="auto" w:fill="FFFFFF"/>
        </w:rPr>
        <w:t xml:space="preserve"> 1819.</w:t>
      </w:r>
    </w:p>
    <w:p w14:paraId="3F35FD4C" w14:textId="77777777" w:rsidR="000F4977" w:rsidRPr="0004124E" w:rsidRDefault="000F4977" w:rsidP="00F0717A">
      <w:pPr>
        <w:spacing w:line="480" w:lineRule="auto"/>
        <w:jc w:val="both"/>
      </w:pPr>
      <w:r w:rsidRPr="0004124E">
        <w:t xml:space="preserve">Ngai, Mae. M. </w:t>
      </w:r>
      <w:r w:rsidRPr="0004124E">
        <w:rPr>
          <w:i/>
          <w:iCs/>
        </w:rPr>
        <w:t>Impossible Subjects: Illegal Aliens and the Making of Modern America</w:t>
      </w:r>
      <w:r w:rsidRPr="0004124E">
        <w:t>.</w:t>
      </w:r>
    </w:p>
    <w:p w14:paraId="15432331" w14:textId="231312D5" w:rsidR="000F4977" w:rsidRPr="0004124E" w:rsidRDefault="000F4977" w:rsidP="00F0717A">
      <w:pPr>
        <w:spacing w:line="480" w:lineRule="auto"/>
        <w:ind w:firstLine="720"/>
        <w:jc w:val="both"/>
      </w:pPr>
      <w:r w:rsidRPr="0004124E">
        <w:t xml:space="preserve">Princeton, NJ: Princeton University Press, 2014. </w:t>
      </w:r>
    </w:p>
    <w:p w14:paraId="2224EA0A" w14:textId="77777777" w:rsidR="00EA3971" w:rsidRPr="0004124E" w:rsidRDefault="00EA3971" w:rsidP="00F0717A">
      <w:pPr>
        <w:spacing w:line="480" w:lineRule="auto"/>
        <w:jc w:val="both"/>
        <w:rPr>
          <w:shd w:val="clear" w:color="auto" w:fill="FFFFFF"/>
        </w:rPr>
      </w:pPr>
      <w:r w:rsidRPr="0004124E">
        <w:rPr>
          <w:shd w:val="clear" w:color="auto" w:fill="FFFFFF"/>
        </w:rPr>
        <w:t xml:space="preserve">Nguyen, M. T., and Gill, H.  “Interior Immigration Enforcement: The Impacts of Expanding </w:t>
      </w:r>
    </w:p>
    <w:p w14:paraId="694868BC" w14:textId="44AAD830" w:rsidR="00EA3971" w:rsidRPr="0004124E" w:rsidRDefault="00EA3971" w:rsidP="00F0717A">
      <w:pPr>
        <w:spacing w:line="480" w:lineRule="auto"/>
        <w:jc w:val="both"/>
        <w:rPr>
          <w:rStyle w:val="apple-converted-space"/>
          <w:shd w:val="clear" w:color="auto" w:fill="FFFFFF"/>
        </w:rPr>
      </w:pPr>
      <w:r w:rsidRPr="0004124E">
        <w:rPr>
          <w:shd w:val="clear" w:color="auto" w:fill="FFFFFF"/>
        </w:rPr>
        <w:tab/>
        <w:t>Local Law Enforcement Authority.</w:t>
      </w:r>
      <w:r w:rsidRPr="0004124E">
        <w:rPr>
          <w:rStyle w:val="apple-converted-space"/>
          <w:i/>
          <w:iCs/>
          <w:shd w:val="clear" w:color="auto" w:fill="FFFFFF"/>
        </w:rPr>
        <w:t> </w:t>
      </w:r>
      <w:r w:rsidRPr="0004124E">
        <w:rPr>
          <w:i/>
          <w:iCs/>
          <w:shd w:val="clear" w:color="auto" w:fill="FFFFFF"/>
        </w:rPr>
        <w:t>Urban Studies</w:t>
      </w:r>
      <w:r w:rsidRPr="0004124E">
        <w:rPr>
          <w:rStyle w:val="apple-converted-space"/>
          <w:i/>
          <w:iCs/>
          <w:shd w:val="clear" w:color="auto" w:fill="FFFFFF"/>
        </w:rPr>
        <w:t> </w:t>
      </w:r>
      <w:r w:rsidRPr="0004124E">
        <w:rPr>
          <w:i/>
          <w:iCs/>
          <w:shd w:val="clear" w:color="auto" w:fill="FFFFFF"/>
        </w:rPr>
        <w:t xml:space="preserve">53, </w:t>
      </w:r>
      <w:r w:rsidRPr="0004124E">
        <w:rPr>
          <w:shd w:val="clear" w:color="auto" w:fill="FFFFFF"/>
        </w:rPr>
        <w:t>2, (2016): 302.</w:t>
      </w:r>
      <w:r w:rsidRPr="0004124E">
        <w:rPr>
          <w:rStyle w:val="apple-converted-space"/>
          <w:shd w:val="clear" w:color="auto" w:fill="FFFFFF"/>
        </w:rPr>
        <w:t> </w:t>
      </w:r>
    </w:p>
    <w:p w14:paraId="4BA9D11D" w14:textId="77777777" w:rsidR="000F4977" w:rsidRPr="0004124E" w:rsidRDefault="000F4977" w:rsidP="00F0717A">
      <w:pPr>
        <w:spacing w:line="480" w:lineRule="auto"/>
        <w:jc w:val="both"/>
      </w:pPr>
      <w:r w:rsidRPr="0004124E">
        <w:t>Ousey, Graham. C., and Charis E. Kubrin. “Exploring the Connection Between Immigration and</w:t>
      </w:r>
    </w:p>
    <w:p w14:paraId="4CC815DC" w14:textId="77777777" w:rsidR="000F4977" w:rsidRPr="0004124E" w:rsidRDefault="000F4977" w:rsidP="00F0717A">
      <w:pPr>
        <w:spacing w:line="480" w:lineRule="auto"/>
        <w:ind w:firstLine="720"/>
        <w:jc w:val="both"/>
      </w:pPr>
      <w:r w:rsidRPr="0004124E">
        <w:t>Violent Crime Rates in US Cities, 1980–2000”. </w:t>
      </w:r>
      <w:r w:rsidRPr="0004124E">
        <w:rPr>
          <w:i/>
          <w:iCs/>
        </w:rPr>
        <w:t>Social problems</w:t>
      </w:r>
      <w:r w:rsidRPr="0004124E">
        <w:rPr>
          <w:iCs/>
        </w:rPr>
        <w:t xml:space="preserve"> 56</w:t>
      </w:r>
      <w:r w:rsidRPr="0004124E">
        <w:t>, </w:t>
      </w:r>
      <w:r w:rsidRPr="0004124E">
        <w:rPr>
          <w:iCs/>
        </w:rPr>
        <w:t>no.</w:t>
      </w:r>
      <w:r w:rsidRPr="0004124E">
        <w:t>3 (2009): 447</w:t>
      </w:r>
    </w:p>
    <w:p w14:paraId="32FB67F9" w14:textId="41828CFD" w:rsidR="000F4977" w:rsidRPr="0004124E" w:rsidRDefault="000F4977" w:rsidP="00F0717A">
      <w:pPr>
        <w:spacing w:line="480" w:lineRule="auto"/>
        <w:ind w:left="720"/>
        <w:jc w:val="both"/>
      </w:pPr>
      <w:r w:rsidRPr="0004124E">
        <w:t xml:space="preserve">473. </w:t>
      </w:r>
    </w:p>
    <w:p w14:paraId="6F4635B9" w14:textId="77777777" w:rsidR="0018704C" w:rsidRPr="0004124E" w:rsidRDefault="0018704C" w:rsidP="00F0717A">
      <w:pPr>
        <w:spacing w:line="480" w:lineRule="auto"/>
        <w:jc w:val="both"/>
        <w:rPr>
          <w:color w:val="222222"/>
          <w:shd w:val="clear" w:color="auto" w:fill="FFFFFF"/>
        </w:rPr>
      </w:pPr>
      <w:r w:rsidRPr="0004124E">
        <w:rPr>
          <w:color w:val="222222"/>
          <w:shd w:val="clear" w:color="auto" w:fill="FFFFFF"/>
        </w:rPr>
        <w:t xml:space="preserve">Provine, D.M. and Sanchez, G. "Suspecting Immigrants: Exploring Links between Racialised </w:t>
      </w:r>
    </w:p>
    <w:p w14:paraId="5D01B460" w14:textId="77777777" w:rsidR="0018704C" w:rsidRPr="0004124E" w:rsidRDefault="0018704C" w:rsidP="00F0717A">
      <w:pPr>
        <w:spacing w:line="480" w:lineRule="auto"/>
        <w:jc w:val="both"/>
        <w:rPr>
          <w:color w:val="222222"/>
          <w:shd w:val="clear" w:color="auto" w:fill="FFFFFF"/>
        </w:rPr>
      </w:pPr>
      <w:r w:rsidRPr="0004124E">
        <w:rPr>
          <w:color w:val="222222"/>
          <w:shd w:val="clear" w:color="auto" w:fill="FFFFFF"/>
        </w:rPr>
        <w:tab/>
        <w:t>Anxieties and Expanded Police Powers in Arizona."</w:t>
      </w:r>
      <w:r w:rsidRPr="0004124E">
        <w:rPr>
          <w:rStyle w:val="apple-converted-space"/>
          <w:color w:val="222222"/>
          <w:shd w:val="clear" w:color="auto" w:fill="FFFFFF"/>
        </w:rPr>
        <w:t> </w:t>
      </w:r>
      <w:r w:rsidRPr="0004124E">
        <w:rPr>
          <w:i/>
          <w:iCs/>
          <w:color w:val="222222"/>
          <w:shd w:val="clear" w:color="auto" w:fill="FFFFFF"/>
        </w:rPr>
        <w:t>Policing and Society</w:t>
      </w:r>
      <w:r w:rsidRPr="0004124E">
        <w:rPr>
          <w:rStyle w:val="apple-converted-space"/>
          <w:color w:val="222222"/>
          <w:shd w:val="clear" w:color="auto" w:fill="FFFFFF"/>
        </w:rPr>
        <w:t> </w:t>
      </w:r>
      <w:r w:rsidRPr="0004124E">
        <w:rPr>
          <w:color w:val="222222"/>
          <w:shd w:val="clear" w:color="auto" w:fill="FFFFFF"/>
        </w:rPr>
        <w:t xml:space="preserve">21.4 (2011): </w:t>
      </w:r>
    </w:p>
    <w:p w14:paraId="48679B7A" w14:textId="6FB8177F" w:rsidR="0018704C" w:rsidRPr="0004124E" w:rsidRDefault="0018704C" w:rsidP="00F0717A">
      <w:pPr>
        <w:spacing w:line="480" w:lineRule="auto"/>
        <w:jc w:val="both"/>
      </w:pPr>
      <w:r w:rsidRPr="0004124E">
        <w:rPr>
          <w:color w:val="222222"/>
          <w:shd w:val="clear" w:color="auto" w:fill="FFFFFF"/>
        </w:rPr>
        <w:tab/>
        <w:t>468-479.</w:t>
      </w:r>
    </w:p>
    <w:p w14:paraId="257247D8" w14:textId="77777777" w:rsidR="0018704C" w:rsidRPr="0004124E" w:rsidRDefault="000F4977" w:rsidP="00F0717A">
      <w:pPr>
        <w:spacing w:line="480" w:lineRule="auto"/>
        <w:jc w:val="both"/>
        <w:rPr>
          <w:i/>
          <w:iCs/>
        </w:rPr>
      </w:pPr>
      <w:r w:rsidRPr="0004124E">
        <w:lastRenderedPageBreak/>
        <w:t>Provine, D</w:t>
      </w:r>
      <w:r w:rsidR="0018704C" w:rsidRPr="0004124E">
        <w:t>.</w:t>
      </w:r>
      <w:r w:rsidRPr="0004124E">
        <w:t>M</w:t>
      </w:r>
      <w:r w:rsidR="0018704C" w:rsidRPr="0004124E">
        <w:t>.</w:t>
      </w:r>
      <w:r w:rsidRPr="0004124E">
        <w:t xml:space="preserve">, Varsanyi, </w:t>
      </w:r>
      <w:r w:rsidR="0018704C" w:rsidRPr="0004124E">
        <w:t xml:space="preserve">M., </w:t>
      </w:r>
      <w:r w:rsidRPr="0004124E">
        <w:t xml:space="preserve">Lewis, </w:t>
      </w:r>
      <w:r w:rsidR="0018704C" w:rsidRPr="0004124E">
        <w:t xml:space="preserve">P.G., </w:t>
      </w:r>
      <w:r w:rsidRPr="0004124E">
        <w:t>and Decker</w:t>
      </w:r>
      <w:r w:rsidR="0018704C" w:rsidRPr="0004124E">
        <w:t>, S.H.</w:t>
      </w:r>
      <w:r w:rsidRPr="0004124E">
        <w:t xml:space="preserve"> </w:t>
      </w:r>
      <w:r w:rsidRPr="0004124E">
        <w:rPr>
          <w:i/>
          <w:iCs/>
        </w:rPr>
        <w:t>Policing</w:t>
      </w:r>
      <w:r w:rsidR="0018704C" w:rsidRPr="0004124E">
        <w:rPr>
          <w:i/>
          <w:iCs/>
        </w:rPr>
        <w:t xml:space="preserve"> I</w:t>
      </w:r>
      <w:r w:rsidRPr="0004124E">
        <w:rPr>
          <w:i/>
          <w:iCs/>
        </w:rPr>
        <w:t xml:space="preserve">mmigrants: Local Law </w:t>
      </w:r>
    </w:p>
    <w:p w14:paraId="268AB44A" w14:textId="424D7BCF" w:rsidR="000F4977" w:rsidRPr="0004124E" w:rsidRDefault="0018704C" w:rsidP="00F0717A">
      <w:pPr>
        <w:spacing w:line="480" w:lineRule="auto"/>
        <w:jc w:val="both"/>
        <w:rPr>
          <w:i/>
          <w:iCs/>
        </w:rPr>
      </w:pPr>
      <w:r w:rsidRPr="0004124E">
        <w:rPr>
          <w:i/>
          <w:iCs/>
        </w:rPr>
        <w:tab/>
      </w:r>
      <w:r w:rsidR="000F4977" w:rsidRPr="0004124E">
        <w:rPr>
          <w:i/>
          <w:iCs/>
        </w:rPr>
        <w:t>Enforcement on the Front Lines</w:t>
      </w:r>
      <w:r w:rsidR="000F4977" w:rsidRPr="0004124E">
        <w:t>. Chicago, IL: The University of</w:t>
      </w:r>
      <w:r w:rsidRPr="0004124E">
        <w:t xml:space="preserve"> </w:t>
      </w:r>
      <w:r w:rsidR="000F4977" w:rsidRPr="0004124E">
        <w:t>Chicago</w:t>
      </w:r>
      <w:r w:rsidR="000F4977" w:rsidRPr="0004124E">
        <w:rPr>
          <w:i/>
          <w:iCs/>
        </w:rPr>
        <w:t xml:space="preserve"> </w:t>
      </w:r>
      <w:r w:rsidR="000F4977" w:rsidRPr="0004124E">
        <w:t>Press,</w:t>
      </w:r>
      <w:r w:rsidRPr="0004124E">
        <w:t xml:space="preserve"> (</w:t>
      </w:r>
      <w:r w:rsidR="000F4977" w:rsidRPr="0004124E">
        <w:t>2016</w:t>
      </w:r>
      <w:r w:rsidRPr="0004124E">
        <w:t>)</w:t>
      </w:r>
      <w:r w:rsidR="000F4977" w:rsidRPr="0004124E">
        <w:t xml:space="preserve">. </w:t>
      </w:r>
    </w:p>
    <w:p w14:paraId="32332FA2" w14:textId="77777777" w:rsidR="000F4977" w:rsidRPr="0004124E" w:rsidRDefault="000F4977" w:rsidP="00F0717A">
      <w:pPr>
        <w:spacing w:line="480" w:lineRule="auto"/>
        <w:jc w:val="both"/>
        <w:rPr>
          <w:i/>
          <w:iCs/>
        </w:rPr>
      </w:pPr>
      <w:r w:rsidRPr="0004124E">
        <w:t xml:space="preserve">Raudenbush, Stephen W., and Anthony S. Bryk. </w:t>
      </w:r>
      <w:r w:rsidRPr="0004124E">
        <w:rPr>
          <w:i/>
          <w:iCs/>
        </w:rPr>
        <w:t>Hierarchical Linear Models: Applications and</w:t>
      </w:r>
    </w:p>
    <w:p w14:paraId="70B72EE4" w14:textId="77777777" w:rsidR="000F4977" w:rsidRPr="0004124E" w:rsidRDefault="000F4977" w:rsidP="00F0717A">
      <w:pPr>
        <w:spacing w:line="480" w:lineRule="auto"/>
        <w:ind w:firstLine="720"/>
        <w:jc w:val="both"/>
        <w:rPr>
          <w:i/>
          <w:iCs/>
        </w:rPr>
      </w:pPr>
      <w:r w:rsidRPr="0004124E">
        <w:rPr>
          <w:i/>
          <w:iCs/>
        </w:rPr>
        <w:t>Data Analysis Methods</w:t>
      </w:r>
      <w:r w:rsidRPr="0004124E">
        <w:t>. Thousand Oaks: Sage Publications,1992.</w:t>
      </w:r>
    </w:p>
    <w:p w14:paraId="3E8EE740" w14:textId="77777777" w:rsidR="000F4977" w:rsidRPr="0004124E" w:rsidRDefault="000F4977" w:rsidP="00F0717A">
      <w:pPr>
        <w:spacing w:line="480" w:lineRule="auto"/>
        <w:jc w:val="both"/>
      </w:pPr>
      <w:r w:rsidRPr="0004124E">
        <w:t>Raudenbush, Stephen W., Anthony S. Bryk, Yuk Fai Cheong, Richard Congdon, and Mathilda</w:t>
      </w:r>
    </w:p>
    <w:p w14:paraId="0B4A56D9" w14:textId="77777777" w:rsidR="000F4977" w:rsidRPr="0004124E" w:rsidRDefault="000F4977" w:rsidP="00F0717A">
      <w:pPr>
        <w:spacing w:line="480" w:lineRule="auto"/>
        <w:ind w:firstLine="720"/>
        <w:jc w:val="both"/>
        <w:rPr>
          <w:i/>
          <w:iCs/>
        </w:rPr>
      </w:pPr>
      <w:r w:rsidRPr="0004124E">
        <w:t>Du Toit. “Hierarchical Linear and Nonlinear Modeling (HLM7)”. </w:t>
      </w:r>
      <w:r w:rsidRPr="0004124E">
        <w:rPr>
          <w:i/>
          <w:iCs/>
        </w:rPr>
        <w:t>Lincolnwood, IL:</w:t>
      </w:r>
    </w:p>
    <w:p w14:paraId="3DF27915" w14:textId="77777777" w:rsidR="000F4977" w:rsidRPr="0004124E" w:rsidRDefault="000F4977" w:rsidP="00F0717A">
      <w:pPr>
        <w:spacing w:line="480" w:lineRule="auto"/>
        <w:ind w:firstLine="720"/>
        <w:jc w:val="both"/>
      </w:pPr>
      <w:r w:rsidRPr="0004124E">
        <w:rPr>
          <w:i/>
          <w:iCs/>
        </w:rPr>
        <w:t>Scientific Software</w:t>
      </w:r>
      <w:r w:rsidRPr="0004124E">
        <w:t xml:space="preserve"> </w:t>
      </w:r>
      <w:r w:rsidRPr="0004124E">
        <w:rPr>
          <w:i/>
          <w:iCs/>
        </w:rPr>
        <w:t>International</w:t>
      </w:r>
      <w:r w:rsidRPr="0004124E">
        <w:t xml:space="preserve"> (2011).</w:t>
      </w:r>
    </w:p>
    <w:p w14:paraId="1A1BE197" w14:textId="77777777" w:rsidR="000F4977" w:rsidRPr="0004124E" w:rsidRDefault="000F4977" w:rsidP="00F0717A">
      <w:pPr>
        <w:spacing w:line="480" w:lineRule="auto"/>
        <w:jc w:val="both"/>
      </w:pPr>
      <w:r w:rsidRPr="0004124E">
        <w:t xml:space="preserve">Rios, Victor. M. </w:t>
      </w:r>
      <w:r w:rsidRPr="0004124E">
        <w:rPr>
          <w:i/>
          <w:iCs/>
        </w:rPr>
        <w:t>Punished: Policing the lives of Black and Latino boys</w:t>
      </w:r>
      <w:r w:rsidRPr="0004124E">
        <w:t xml:space="preserve">. New York, NY: New </w:t>
      </w:r>
    </w:p>
    <w:p w14:paraId="3AAA11DB" w14:textId="77777777" w:rsidR="000F4977" w:rsidRPr="0004124E" w:rsidRDefault="000F4977" w:rsidP="00F0717A">
      <w:pPr>
        <w:spacing w:line="480" w:lineRule="auto"/>
        <w:ind w:firstLine="720"/>
        <w:jc w:val="both"/>
      </w:pPr>
      <w:r w:rsidRPr="0004124E">
        <w:t>York University Press, 2010.</w:t>
      </w:r>
    </w:p>
    <w:p w14:paraId="297BDAA6" w14:textId="77777777" w:rsidR="000F4977" w:rsidRPr="0004124E" w:rsidRDefault="000F4977" w:rsidP="00F0717A">
      <w:pPr>
        <w:spacing w:line="480" w:lineRule="auto"/>
        <w:jc w:val="both"/>
      </w:pPr>
      <w:r w:rsidRPr="0004124E">
        <w:t>Romero, Mary. (2006). “Racial Profiling and Immigration Law Enforcement: Rounding up of</w:t>
      </w:r>
    </w:p>
    <w:p w14:paraId="0F7FCEDA" w14:textId="77777777" w:rsidR="000F4977" w:rsidRPr="0004124E" w:rsidRDefault="000F4977" w:rsidP="00F0717A">
      <w:pPr>
        <w:spacing w:line="480" w:lineRule="auto"/>
        <w:ind w:left="720"/>
        <w:jc w:val="both"/>
      </w:pPr>
      <w:r w:rsidRPr="0004124E">
        <w:t>Usual Suspects in the Latino Community.” </w:t>
      </w:r>
      <w:r w:rsidRPr="0004124E">
        <w:rPr>
          <w:i/>
          <w:iCs/>
        </w:rPr>
        <w:t>Critical Sociology</w:t>
      </w:r>
      <w:r w:rsidRPr="0004124E">
        <w:rPr>
          <w:iCs/>
        </w:rPr>
        <w:t xml:space="preserve"> 32</w:t>
      </w:r>
      <w:r w:rsidRPr="0004124E">
        <w:t>, </w:t>
      </w:r>
      <w:r w:rsidRPr="0004124E">
        <w:rPr>
          <w:iCs/>
        </w:rPr>
        <w:t xml:space="preserve"> no.</w:t>
      </w:r>
      <w:r w:rsidRPr="0004124E">
        <w:t>2-3 (2006): 447-473. doi: 10.1163/156916306777835376</w:t>
      </w:r>
    </w:p>
    <w:p w14:paraId="352F2BAE" w14:textId="77777777" w:rsidR="000F4977" w:rsidRPr="0004124E" w:rsidRDefault="000F4977" w:rsidP="00F0717A">
      <w:pPr>
        <w:spacing w:line="480" w:lineRule="auto"/>
        <w:jc w:val="both"/>
      </w:pPr>
      <w:r w:rsidRPr="0004124E">
        <w:t>Saenz, Rogelio. “Latinos in the United States 2010.” </w:t>
      </w:r>
      <w:r w:rsidRPr="0004124E">
        <w:rPr>
          <w:i/>
          <w:iCs/>
        </w:rPr>
        <w:t>Population Bulletin Update</w:t>
      </w:r>
      <w:r w:rsidRPr="0004124E">
        <w:t>. Accessed June</w:t>
      </w:r>
    </w:p>
    <w:p w14:paraId="6DAB8BAC" w14:textId="77777777" w:rsidR="000F4977" w:rsidRPr="0004124E" w:rsidRDefault="000F4977" w:rsidP="00F0717A">
      <w:pPr>
        <w:spacing w:line="480" w:lineRule="auto"/>
        <w:ind w:firstLine="720"/>
        <w:jc w:val="both"/>
      </w:pPr>
      <w:r w:rsidRPr="0004124E">
        <w:t>1,2016. (2010). http://www.prb.org/Publications/Reports/2010/latinosupdate1.aspx</w:t>
      </w:r>
    </w:p>
    <w:p w14:paraId="691A410A" w14:textId="77777777" w:rsidR="000F4977" w:rsidRPr="0004124E" w:rsidRDefault="000F4977" w:rsidP="00F0717A">
      <w:pPr>
        <w:spacing w:line="480" w:lineRule="auto"/>
        <w:jc w:val="both"/>
        <w:rPr>
          <w:i/>
          <w:iCs/>
          <w:color w:val="000000"/>
        </w:rPr>
      </w:pPr>
      <w:r w:rsidRPr="0004124E">
        <w:rPr>
          <w:color w:val="000000"/>
        </w:rPr>
        <w:t xml:space="preserve">Saenz, Rogelio. “Latinos, Whites, and the Shifting Demography of Arizona.” </w:t>
      </w:r>
      <w:r w:rsidRPr="0004124E">
        <w:rPr>
          <w:i/>
          <w:iCs/>
          <w:color w:val="000000"/>
        </w:rPr>
        <w:t xml:space="preserve">Population </w:t>
      </w:r>
    </w:p>
    <w:p w14:paraId="2F3E0AB4" w14:textId="77777777" w:rsidR="000F4977" w:rsidRPr="0004124E" w:rsidRDefault="000F4977" w:rsidP="00F0717A">
      <w:pPr>
        <w:spacing w:line="480" w:lineRule="auto"/>
        <w:jc w:val="both"/>
        <w:rPr>
          <w:color w:val="000000"/>
        </w:rPr>
      </w:pPr>
      <w:r w:rsidRPr="0004124E">
        <w:rPr>
          <w:i/>
          <w:iCs/>
          <w:color w:val="000000"/>
        </w:rPr>
        <w:tab/>
        <w:t>Reference Bureau.</w:t>
      </w:r>
      <w:r w:rsidRPr="0004124E">
        <w:rPr>
          <w:color w:val="000000"/>
        </w:rPr>
        <w:t xml:space="preserve"> Accessed April 24, 2014.(2010)</w:t>
      </w:r>
    </w:p>
    <w:p w14:paraId="3BFD155B" w14:textId="126B1F47" w:rsidR="000F4977" w:rsidRPr="0004124E" w:rsidRDefault="00BF3963" w:rsidP="00F0717A">
      <w:pPr>
        <w:spacing w:line="480" w:lineRule="auto"/>
        <w:ind w:firstLine="720"/>
        <w:jc w:val="both"/>
      </w:pPr>
      <w:hyperlink r:id="rId11" w:tgtFrame="_blank" w:history="1">
        <w:r w:rsidR="000F4977" w:rsidRPr="0004124E">
          <w:rPr>
            <w:color w:val="0000FF"/>
            <w:u w:val="single"/>
          </w:rPr>
          <w:t>http://www.prb.org/Articles/2010/usarizonalatinos.aspx</w:t>
        </w:r>
      </w:hyperlink>
      <w:r w:rsidR="000F4977" w:rsidRPr="0004124E">
        <w:rPr>
          <w:color w:val="000000"/>
        </w:rPr>
        <w:t>.</w:t>
      </w:r>
    </w:p>
    <w:p w14:paraId="77292AC8" w14:textId="77777777" w:rsidR="000F4977" w:rsidRPr="0004124E" w:rsidRDefault="000F4977" w:rsidP="00F0717A">
      <w:pPr>
        <w:spacing w:line="480" w:lineRule="auto"/>
        <w:jc w:val="both"/>
        <w:rPr>
          <w:i/>
          <w:iCs/>
        </w:rPr>
      </w:pPr>
      <w:r w:rsidRPr="0004124E">
        <w:t xml:space="preserve">Saenz, Rogelio, and Maria Christina Morales. </w:t>
      </w:r>
      <w:r w:rsidRPr="0004124E">
        <w:rPr>
          <w:i/>
          <w:iCs/>
        </w:rPr>
        <w:t>Latinos in the United States: Diversity and</w:t>
      </w:r>
    </w:p>
    <w:p w14:paraId="015B3BFD" w14:textId="77777777" w:rsidR="000F4977" w:rsidRPr="0004124E" w:rsidRDefault="000F4977" w:rsidP="00F0717A">
      <w:pPr>
        <w:spacing w:line="480" w:lineRule="auto"/>
        <w:ind w:firstLine="720"/>
        <w:jc w:val="both"/>
      </w:pPr>
      <w:r w:rsidRPr="0004124E">
        <w:rPr>
          <w:i/>
          <w:iCs/>
        </w:rPr>
        <w:t>Change</w:t>
      </w:r>
      <w:r w:rsidRPr="0004124E">
        <w:t xml:space="preserve">. Polity Press, 2015.   </w:t>
      </w:r>
    </w:p>
    <w:p w14:paraId="2418F9A8" w14:textId="77777777" w:rsidR="000F4977" w:rsidRPr="0004124E" w:rsidRDefault="000F4977" w:rsidP="00F0717A">
      <w:pPr>
        <w:spacing w:line="480" w:lineRule="auto"/>
        <w:jc w:val="both"/>
      </w:pPr>
      <w:r w:rsidRPr="0004124E">
        <w:t>Salter, Mark B. “Passports, Mobility, and Security: How Smart Can the Border</w:t>
      </w:r>
    </w:p>
    <w:p w14:paraId="6D2E63F8" w14:textId="77777777" w:rsidR="000F4977" w:rsidRPr="0004124E" w:rsidRDefault="000F4977" w:rsidP="00F0717A">
      <w:pPr>
        <w:spacing w:line="480" w:lineRule="auto"/>
        <w:ind w:firstLine="720"/>
        <w:jc w:val="both"/>
      </w:pPr>
      <w:r w:rsidRPr="0004124E">
        <w:t>Be?.” </w:t>
      </w:r>
      <w:r w:rsidRPr="0004124E">
        <w:rPr>
          <w:i/>
          <w:iCs/>
        </w:rPr>
        <w:t xml:space="preserve">International Studies Perspectives </w:t>
      </w:r>
      <w:r w:rsidRPr="0004124E">
        <w:rPr>
          <w:iCs/>
        </w:rPr>
        <w:t>5</w:t>
      </w:r>
      <w:r w:rsidRPr="0004124E">
        <w:t>, </w:t>
      </w:r>
      <w:r w:rsidRPr="0004124E">
        <w:rPr>
          <w:iCs/>
        </w:rPr>
        <w:t>no.</w:t>
      </w:r>
      <w:r w:rsidRPr="0004124E">
        <w:t>1 (2004): 71-91.</w:t>
      </w:r>
    </w:p>
    <w:p w14:paraId="27BE0071" w14:textId="77777777" w:rsidR="000F4977" w:rsidRPr="0004124E" w:rsidRDefault="000F4977" w:rsidP="00F0717A">
      <w:pPr>
        <w:spacing w:line="480" w:lineRule="auto"/>
        <w:ind w:firstLine="720"/>
        <w:jc w:val="both"/>
      </w:pPr>
      <w:r w:rsidRPr="0004124E">
        <w:t>doi: 10.1111/j.1528-3577.2004.00158.x</w:t>
      </w:r>
    </w:p>
    <w:p w14:paraId="3F23BAF4" w14:textId="77777777" w:rsidR="000F4977" w:rsidRPr="0004124E" w:rsidRDefault="000F4977" w:rsidP="00F0717A">
      <w:pPr>
        <w:spacing w:line="480" w:lineRule="auto"/>
        <w:jc w:val="both"/>
      </w:pPr>
      <w:r w:rsidRPr="0004124E">
        <w:t>Sampson, Robert J. “Rethinking Crime and Immigration.” </w:t>
      </w:r>
      <w:r w:rsidRPr="0004124E">
        <w:rPr>
          <w:i/>
          <w:iCs/>
        </w:rPr>
        <w:t xml:space="preserve">Contexts </w:t>
      </w:r>
      <w:r w:rsidRPr="0004124E">
        <w:rPr>
          <w:iCs/>
        </w:rPr>
        <w:t>7</w:t>
      </w:r>
      <w:r w:rsidRPr="0004124E">
        <w:t>, no.1 (2008): 28-33.</w:t>
      </w:r>
    </w:p>
    <w:p w14:paraId="58C7FC8E" w14:textId="77777777" w:rsidR="000F4977" w:rsidRPr="0004124E" w:rsidRDefault="000F4977" w:rsidP="00F0717A">
      <w:pPr>
        <w:spacing w:line="480" w:lineRule="auto"/>
        <w:jc w:val="both"/>
      </w:pPr>
      <w:r w:rsidRPr="0004124E">
        <w:lastRenderedPageBreak/>
        <w:tab/>
        <w:t>doi: 10.1525/ctx.2008.7.1.28</w:t>
      </w:r>
    </w:p>
    <w:p w14:paraId="0B30AC3B" w14:textId="77777777" w:rsidR="000F4977" w:rsidRPr="0004124E" w:rsidRDefault="000F4977" w:rsidP="00F0717A">
      <w:pPr>
        <w:spacing w:line="480" w:lineRule="auto"/>
        <w:jc w:val="both"/>
      </w:pPr>
      <w:r w:rsidRPr="0004124E">
        <w:t>Sampson, Robert J., and Lydia Bean L. “Cultural Mechanisms and Killing Fields: A Revised</w:t>
      </w:r>
    </w:p>
    <w:p w14:paraId="654C0256" w14:textId="77777777" w:rsidR="000F4977" w:rsidRPr="0004124E" w:rsidRDefault="000F4977" w:rsidP="00F0717A">
      <w:pPr>
        <w:spacing w:line="480" w:lineRule="auto"/>
        <w:ind w:firstLine="720"/>
        <w:jc w:val="both"/>
        <w:rPr>
          <w:i/>
          <w:iCs/>
        </w:rPr>
      </w:pPr>
      <w:r w:rsidRPr="0004124E">
        <w:t>Theory of Community-Level Racial Inequality.” </w:t>
      </w:r>
      <w:r w:rsidRPr="0004124E">
        <w:rPr>
          <w:i/>
          <w:iCs/>
        </w:rPr>
        <w:t>The Many</w:t>
      </w:r>
      <w:r w:rsidRPr="0004124E">
        <w:t xml:space="preserve"> </w:t>
      </w:r>
      <w:r w:rsidRPr="0004124E">
        <w:rPr>
          <w:i/>
          <w:iCs/>
        </w:rPr>
        <w:t>Colors of Crime: Inequalities</w:t>
      </w:r>
    </w:p>
    <w:p w14:paraId="30029235" w14:textId="77777777" w:rsidR="000F4977" w:rsidRPr="0004124E" w:rsidRDefault="000F4977" w:rsidP="00F0717A">
      <w:pPr>
        <w:spacing w:line="480" w:lineRule="auto"/>
        <w:ind w:left="720"/>
        <w:jc w:val="both"/>
      </w:pPr>
      <w:r w:rsidRPr="0004124E">
        <w:rPr>
          <w:i/>
          <w:iCs/>
        </w:rPr>
        <w:t>of Race, Ethnicity, and Crime in America</w:t>
      </w:r>
      <w:r w:rsidRPr="0004124E">
        <w:t>., edited by  Ruth D. Peterson , Lauren. J. Karvo and John Hagan,8-36. New York: New York University Press, 2006.</w:t>
      </w:r>
    </w:p>
    <w:p w14:paraId="6DAFC37B" w14:textId="77777777" w:rsidR="000F4977" w:rsidRPr="0004124E" w:rsidRDefault="000F4977" w:rsidP="00F0717A">
      <w:pPr>
        <w:spacing w:line="480" w:lineRule="auto"/>
        <w:jc w:val="both"/>
        <w:rPr>
          <w:iCs/>
        </w:rPr>
      </w:pPr>
      <w:r w:rsidRPr="0004124E">
        <w:rPr>
          <w:iCs/>
        </w:rPr>
        <w:t>Sampson, Robert  J., and William Julius Wilson, “Toward a Theory of Race, Crime, and Urban</w:t>
      </w:r>
    </w:p>
    <w:p w14:paraId="0AEB49C9" w14:textId="77777777" w:rsidR="000F4977" w:rsidRPr="0004124E" w:rsidRDefault="000F4977" w:rsidP="00F0717A">
      <w:pPr>
        <w:spacing w:line="480" w:lineRule="auto"/>
        <w:ind w:firstLine="720"/>
        <w:jc w:val="both"/>
        <w:rPr>
          <w:iCs/>
        </w:rPr>
      </w:pPr>
      <w:r w:rsidRPr="0004124E">
        <w:rPr>
          <w:iCs/>
        </w:rPr>
        <w:t xml:space="preserve">Inequality.” In </w:t>
      </w:r>
      <w:r w:rsidRPr="0004124E">
        <w:rPr>
          <w:i/>
          <w:iCs/>
        </w:rPr>
        <w:t>Race, Crime, and Justice: A reader</w:t>
      </w:r>
      <w:r w:rsidRPr="0004124E">
        <w:rPr>
          <w:iCs/>
        </w:rPr>
        <w:t>, edited by Shuan. L. Gabbidon and</w:t>
      </w:r>
    </w:p>
    <w:p w14:paraId="7F7A607C" w14:textId="77777777" w:rsidR="000F4977" w:rsidRPr="0004124E" w:rsidRDefault="000F4977" w:rsidP="00F0717A">
      <w:pPr>
        <w:spacing w:line="480" w:lineRule="auto"/>
        <w:ind w:left="720"/>
        <w:jc w:val="both"/>
        <w:rPr>
          <w:i/>
          <w:iCs/>
        </w:rPr>
      </w:pPr>
      <w:r w:rsidRPr="0004124E">
        <w:rPr>
          <w:iCs/>
        </w:rPr>
        <w:t>Helen Taylor Greene, 177-190. New York, NY: Routledge, 1995.</w:t>
      </w:r>
    </w:p>
    <w:p w14:paraId="14D4654B" w14:textId="77777777" w:rsidR="000F4977" w:rsidRPr="0004124E" w:rsidRDefault="000F4977" w:rsidP="00F0717A">
      <w:pPr>
        <w:spacing w:line="480" w:lineRule="auto"/>
        <w:jc w:val="both"/>
        <w:rPr>
          <w:iCs/>
        </w:rPr>
      </w:pPr>
      <w:r w:rsidRPr="0004124E">
        <w:rPr>
          <w:iCs/>
        </w:rPr>
        <w:t>Shahani, Aarti, and Judith Greene. “Local Democracy on ICE .” </w:t>
      </w:r>
      <w:r w:rsidRPr="0004124E">
        <w:rPr>
          <w:i/>
          <w:iCs/>
        </w:rPr>
        <w:t>Justice Strategies Report</w:t>
      </w:r>
      <w:r w:rsidRPr="0004124E">
        <w:rPr>
          <w:iCs/>
        </w:rPr>
        <w:t>(2009).</w:t>
      </w:r>
    </w:p>
    <w:p w14:paraId="333EA578" w14:textId="77777777" w:rsidR="000F4977" w:rsidRPr="0004124E" w:rsidRDefault="000F4977" w:rsidP="00F0717A">
      <w:pPr>
        <w:spacing w:line="480" w:lineRule="auto"/>
        <w:jc w:val="both"/>
        <w:rPr>
          <w:i/>
          <w:iCs/>
        </w:rPr>
      </w:pPr>
      <w:r w:rsidRPr="0004124E">
        <w:rPr>
          <w:iCs/>
        </w:rPr>
        <w:t>Stowell, Jacob I., Steven F. Messner, Kelly F. McGeever, and Lawerance E, Raffalovich.</w:t>
      </w:r>
    </w:p>
    <w:p w14:paraId="055EC16B" w14:textId="77777777" w:rsidR="000F4977" w:rsidRPr="0004124E" w:rsidRDefault="000F4977" w:rsidP="00F0717A">
      <w:pPr>
        <w:spacing w:line="480" w:lineRule="auto"/>
        <w:ind w:firstLine="720"/>
        <w:jc w:val="both"/>
        <w:rPr>
          <w:rFonts w:ascii="Cambria Math" w:hAnsi="Cambria Math" w:cs="Cambria Math"/>
          <w:iCs/>
        </w:rPr>
      </w:pPr>
      <w:r w:rsidRPr="0004124E">
        <w:rPr>
          <w:i/>
          <w:iCs/>
        </w:rPr>
        <w:t>“</w:t>
      </w:r>
      <w:r w:rsidRPr="0004124E">
        <w:rPr>
          <w:iCs/>
        </w:rPr>
        <w:t>Immigration and the Recent Violent Crime Drop in the United States: A Pooled, Cross</w:t>
      </w:r>
    </w:p>
    <w:p w14:paraId="1F2ECAAA" w14:textId="77777777" w:rsidR="000F4977" w:rsidRPr="0004124E" w:rsidRDefault="000F4977" w:rsidP="00F0717A">
      <w:pPr>
        <w:spacing w:line="480" w:lineRule="auto"/>
        <w:ind w:firstLine="720"/>
        <w:jc w:val="both"/>
        <w:rPr>
          <w:iCs/>
        </w:rPr>
      </w:pPr>
      <w:r w:rsidRPr="0004124E">
        <w:rPr>
          <w:iCs/>
        </w:rPr>
        <w:t>Sectional Time</w:t>
      </w:r>
      <w:r w:rsidRPr="0004124E">
        <w:rPr>
          <w:rFonts w:ascii="Cambria Math" w:hAnsi="Cambria Math" w:cs="Cambria Math"/>
          <w:iCs/>
        </w:rPr>
        <w:t>‐</w:t>
      </w:r>
      <w:r w:rsidRPr="0004124E">
        <w:rPr>
          <w:iCs/>
        </w:rPr>
        <w:t>Series</w:t>
      </w:r>
      <w:r w:rsidRPr="0004124E">
        <w:rPr>
          <w:iCs/>
        </w:rPr>
        <w:tab/>
        <w:t>Analysis of Metropolitan Areas</w:t>
      </w:r>
      <w:r w:rsidRPr="0004124E">
        <w:rPr>
          <w:i/>
          <w:iCs/>
        </w:rPr>
        <w:t xml:space="preserve">.” Criminology </w:t>
      </w:r>
      <w:r w:rsidRPr="0004124E">
        <w:rPr>
          <w:iCs/>
        </w:rPr>
        <w:t>47</w:t>
      </w:r>
      <w:r w:rsidRPr="0004124E">
        <w:rPr>
          <w:i/>
          <w:iCs/>
        </w:rPr>
        <w:t>,</w:t>
      </w:r>
      <w:r w:rsidRPr="0004124E">
        <w:rPr>
          <w:iCs/>
        </w:rPr>
        <w:t>no. 3(2009)</w:t>
      </w:r>
      <w:r w:rsidRPr="0004124E">
        <w:rPr>
          <w:i/>
          <w:iCs/>
        </w:rPr>
        <w:t xml:space="preserve">, </w:t>
      </w:r>
      <w:r w:rsidRPr="0004124E">
        <w:rPr>
          <w:iCs/>
        </w:rPr>
        <w:t>889</w:t>
      </w:r>
    </w:p>
    <w:p w14:paraId="6121965A" w14:textId="77777777" w:rsidR="000F4977" w:rsidRPr="0004124E" w:rsidRDefault="000F4977" w:rsidP="00F0717A">
      <w:pPr>
        <w:spacing w:line="480" w:lineRule="auto"/>
        <w:ind w:firstLine="720"/>
        <w:jc w:val="both"/>
        <w:rPr>
          <w:iCs/>
        </w:rPr>
      </w:pPr>
      <w:r w:rsidRPr="0004124E">
        <w:rPr>
          <w:iCs/>
        </w:rPr>
        <w:t>928. doi: 10.1111/j.1745-9125.2009.00162.x</w:t>
      </w:r>
    </w:p>
    <w:p w14:paraId="6091D62E" w14:textId="77777777" w:rsidR="000F4977" w:rsidRPr="0004124E" w:rsidRDefault="000F4977" w:rsidP="00F0717A">
      <w:pPr>
        <w:spacing w:line="480" w:lineRule="auto"/>
        <w:jc w:val="both"/>
        <w:rPr>
          <w:color w:val="222222"/>
          <w:shd w:val="clear" w:color="auto" w:fill="FFFFFF"/>
        </w:rPr>
      </w:pPr>
      <w:r w:rsidRPr="0004124E">
        <w:rPr>
          <w:color w:val="222222"/>
          <w:shd w:val="clear" w:color="auto" w:fill="FFFFFF"/>
        </w:rPr>
        <w:t>Stumpf, Juliet. P. “The Crimmigration Crisis: Immigrants, Crime, and Sovereign</w:t>
      </w:r>
    </w:p>
    <w:p w14:paraId="55D29A98" w14:textId="77777777" w:rsidR="000F4977" w:rsidRPr="0004124E" w:rsidRDefault="000F4977" w:rsidP="00F0717A">
      <w:pPr>
        <w:spacing w:line="480" w:lineRule="auto"/>
        <w:ind w:firstLine="720"/>
        <w:jc w:val="both"/>
        <w:rPr>
          <w:color w:val="222222"/>
          <w:shd w:val="clear" w:color="auto" w:fill="FFFFFF"/>
        </w:rPr>
      </w:pPr>
      <w:r w:rsidRPr="0004124E">
        <w:rPr>
          <w:color w:val="222222"/>
          <w:shd w:val="clear" w:color="auto" w:fill="FFFFFF"/>
        </w:rPr>
        <w:t>Power.”</w:t>
      </w:r>
      <w:r w:rsidRPr="0004124E">
        <w:rPr>
          <w:rStyle w:val="apple-converted-space"/>
          <w:color w:val="222222"/>
          <w:shd w:val="clear" w:color="auto" w:fill="FFFFFF"/>
        </w:rPr>
        <w:t> </w:t>
      </w:r>
      <w:r w:rsidRPr="0004124E">
        <w:rPr>
          <w:i/>
          <w:iCs/>
          <w:color w:val="222222"/>
          <w:shd w:val="clear" w:color="auto" w:fill="FFFFFF"/>
        </w:rPr>
        <w:t>American University Law Review</w:t>
      </w:r>
      <w:r w:rsidRPr="0004124E">
        <w:rPr>
          <w:iCs/>
          <w:color w:val="222222"/>
          <w:shd w:val="clear" w:color="auto" w:fill="FFFFFF"/>
        </w:rPr>
        <w:t xml:space="preserve"> 56</w:t>
      </w:r>
      <w:r w:rsidRPr="0004124E">
        <w:rPr>
          <w:color w:val="222222"/>
          <w:shd w:val="clear" w:color="auto" w:fill="FFFFFF"/>
        </w:rPr>
        <w:t>,</w:t>
      </w:r>
      <w:r w:rsidRPr="0004124E">
        <w:rPr>
          <w:rStyle w:val="apple-converted-space"/>
          <w:color w:val="222222"/>
          <w:shd w:val="clear" w:color="auto" w:fill="FFFFFF"/>
        </w:rPr>
        <w:t> </w:t>
      </w:r>
      <w:r w:rsidRPr="0004124E">
        <w:rPr>
          <w:iCs/>
          <w:color w:val="222222"/>
          <w:shd w:val="clear" w:color="auto" w:fill="FFFFFF"/>
        </w:rPr>
        <w:t>(2006)</w:t>
      </w:r>
      <w:r w:rsidRPr="0004124E">
        <w:rPr>
          <w:color w:val="222222"/>
          <w:shd w:val="clear" w:color="auto" w:fill="FFFFFF"/>
        </w:rPr>
        <w:t>: 367.</w:t>
      </w:r>
    </w:p>
    <w:p w14:paraId="0B81AB0A" w14:textId="77777777" w:rsidR="000F4977" w:rsidRPr="0004124E" w:rsidRDefault="000F4977" w:rsidP="00F0717A">
      <w:pPr>
        <w:spacing w:line="480" w:lineRule="auto"/>
        <w:jc w:val="both"/>
        <w:rPr>
          <w:i/>
          <w:iCs/>
          <w:color w:val="222222"/>
          <w:shd w:val="clear" w:color="auto" w:fill="FFFFFF"/>
        </w:rPr>
      </w:pPr>
      <w:r w:rsidRPr="0004124E">
        <w:rPr>
          <w:iCs/>
          <w:color w:val="222222"/>
          <w:shd w:val="clear" w:color="auto" w:fill="FFFFFF"/>
        </w:rPr>
        <w:t>Stumpf, Juliet.“The Process is the Punishment in Crimmigration Law” .In</w:t>
      </w:r>
      <w:r w:rsidRPr="0004124E">
        <w:rPr>
          <w:i/>
          <w:iCs/>
          <w:color w:val="222222"/>
          <w:shd w:val="clear" w:color="auto" w:fill="FFFFFF"/>
        </w:rPr>
        <w:t xml:space="preserve">  The Borders of</w:t>
      </w:r>
    </w:p>
    <w:p w14:paraId="088B4EBE" w14:textId="77777777" w:rsidR="000F4977" w:rsidRPr="0004124E" w:rsidRDefault="000F4977" w:rsidP="00F0717A">
      <w:pPr>
        <w:spacing w:line="480" w:lineRule="auto"/>
        <w:ind w:firstLine="720"/>
        <w:jc w:val="both"/>
        <w:rPr>
          <w:iCs/>
          <w:color w:val="222222"/>
          <w:shd w:val="clear" w:color="auto" w:fill="FFFFFF"/>
        </w:rPr>
      </w:pPr>
      <w:r w:rsidRPr="0004124E">
        <w:rPr>
          <w:i/>
          <w:iCs/>
          <w:color w:val="222222"/>
          <w:shd w:val="clear" w:color="auto" w:fill="FFFFFF"/>
        </w:rPr>
        <w:t xml:space="preserve">Punishment. Migration, Citizenship, and Social Exclusio, </w:t>
      </w:r>
      <w:r w:rsidRPr="0004124E">
        <w:rPr>
          <w:iCs/>
          <w:color w:val="222222"/>
          <w:shd w:val="clear" w:color="auto" w:fill="FFFFFF"/>
        </w:rPr>
        <w:t>edited by</w:t>
      </w:r>
      <w:r w:rsidRPr="0004124E">
        <w:rPr>
          <w:i/>
          <w:iCs/>
          <w:color w:val="222222"/>
          <w:shd w:val="clear" w:color="auto" w:fill="FFFFFF"/>
        </w:rPr>
        <w:t xml:space="preserve"> </w:t>
      </w:r>
      <w:r w:rsidRPr="0004124E">
        <w:rPr>
          <w:iCs/>
          <w:color w:val="222222"/>
          <w:shd w:val="clear" w:color="auto" w:fill="FFFFFF"/>
        </w:rPr>
        <w:t>Katja  Franko AAS</w:t>
      </w:r>
    </w:p>
    <w:p w14:paraId="635873A9" w14:textId="77777777" w:rsidR="000F4977" w:rsidRPr="0004124E" w:rsidRDefault="000F4977" w:rsidP="00F0717A">
      <w:pPr>
        <w:spacing w:line="480" w:lineRule="auto"/>
        <w:ind w:firstLine="720"/>
        <w:jc w:val="both"/>
        <w:rPr>
          <w:i/>
          <w:iCs/>
          <w:color w:val="222222"/>
          <w:shd w:val="clear" w:color="auto" w:fill="FFFFFF"/>
        </w:rPr>
      </w:pPr>
      <w:r w:rsidRPr="0004124E">
        <w:rPr>
          <w:iCs/>
          <w:color w:val="222222"/>
          <w:shd w:val="clear" w:color="auto" w:fill="FFFFFF"/>
        </w:rPr>
        <w:t>and Mary Bosworth,55-74. Oxford University Press,2013.</w:t>
      </w:r>
    </w:p>
    <w:p w14:paraId="535A13C7" w14:textId="77777777" w:rsidR="000F4977" w:rsidRPr="0004124E" w:rsidRDefault="000F4977" w:rsidP="00F0717A">
      <w:pPr>
        <w:spacing w:line="480" w:lineRule="auto"/>
        <w:jc w:val="both"/>
        <w:rPr>
          <w:iCs/>
        </w:rPr>
      </w:pPr>
      <w:r w:rsidRPr="0004124E">
        <w:rPr>
          <w:iCs/>
        </w:rPr>
        <w:t>Stuesse, Angela, and Mathew Coleman. “Automobility, Immobility, Altermobility: Surviving</w:t>
      </w:r>
    </w:p>
    <w:p w14:paraId="41B59D06" w14:textId="77777777" w:rsidR="000F4977" w:rsidRPr="0004124E" w:rsidRDefault="000F4977" w:rsidP="00F0717A">
      <w:pPr>
        <w:spacing w:line="480" w:lineRule="auto"/>
        <w:ind w:firstLine="720"/>
        <w:jc w:val="both"/>
        <w:rPr>
          <w:iCs/>
        </w:rPr>
      </w:pPr>
      <w:r w:rsidRPr="0004124E">
        <w:rPr>
          <w:iCs/>
        </w:rPr>
        <w:t>and Resisting the Intensification of Immigrant Policing.” </w:t>
      </w:r>
      <w:r w:rsidRPr="0004124E">
        <w:rPr>
          <w:i/>
          <w:iCs/>
        </w:rPr>
        <w:t xml:space="preserve">City &amp; Society </w:t>
      </w:r>
      <w:r w:rsidRPr="0004124E">
        <w:rPr>
          <w:iCs/>
        </w:rPr>
        <w:t>26,</w:t>
      </w:r>
      <w:r w:rsidRPr="0004124E">
        <w:rPr>
          <w:i/>
          <w:iCs/>
        </w:rPr>
        <w:t xml:space="preserve"> </w:t>
      </w:r>
      <w:r w:rsidRPr="0004124E">
        <w:rPr>
          <w:iCs/>
        </w:rPr>
        <w:t>no.1 (2014):</w:t>
      </w:r>
    </w:p>
    <w:p w14:paraId="6F55BFF3" w14:textId="77777777" w:rsidR="000F4977" w:rsidRPr="0004124E" w:rsidRDefault="000F4977" w:rsidP="00F0717A">
      <w:pPr>
        <w:spacing w:line="480" w:lineRule="auto"/>
        <w:ind w:firstLine="720"/>
        <w:jc w:val="both"/>
        <w:rPr>
          <w:iCs/>
        </w:rPr>
      </w:pPr>
      <w:r w:rsidRPr="0004124E">
        <w:rPr>
          <w:iCs/>
        </w:rPr>
        <w:t>51-72. doi: 10.1111/ciso.12034</w:t>
      </w:r>
    </w:p>
    <w:p w14:paraId="47B1C623" w14:textId="77777777" w:rsidR="000F4977" w:rsidRPr="0004124E" w:rsidRDefault="000F4977" w:rsidP="00F0717A">
      <w:pPr>
        <w:spacing w:line="480" w:lineRule="auto"/>
        <w:jc w:val="both"/>
        <w:rPr>
          <w:i/>
          <w:iCs/>
        </w:rPr>
      </w:pPr>
      <w:r w:rsidRPr="0004124E">
        <w:rPr>
          <w:iCs/>
        </w:rPr>
        <w:t>Thomas, Pedro. M. “Theoretical articulation on immigration and crime.” </w:t>
      </w:r>
      <w:r w:rsidRPr="0004124E">
        <w:rPr>
          <w:i/>
          <w:iCs/>
        </w:rPr>
        <w:t>Homicide Studies</w:t>
      </w:r>
    </w:p>
    <w:p w14:paraId="0A0B061C" w14:textId="77777777" w:rsidR="000F4977" w:rsidRPr="0004124E" w:rsidRDefault="000F4977" w:rsidP="00F0717A">
      <w:pPr>
        <w:spacing w:line="480" w:lineRule="auto"/>
        <w:ind w:firstLine="720"/>
        <w:jc w:val="both"/>
        <w:rPr>
          <w:i/>
          <w:iCs/>
        </w:rPr>
      </w:pPr>
      <w:r w:rsidRPr="0004124E">
        <w:rPr>
          <w:iCs/>
        </w:rPr>
        <w:t>15, no.4 (2011): 382-403. doi: 10.1177/1088767911424539</w:t>
      </w:r>
    </w:p>
    <w:p w14:paraId="63F60808" w14:textId="77777777" w:rsidR="000F4977" w:rsidRPr="0004124E" w:rsidRDefault="000F4977" w:rsidP="00F0717A">
      <w:pPr>
        <w:spacing w:line="480" w:lineRule="auto"/>
        <w:jc w:val="both"/>
      </w:pPr>
      <w:r w:rsidRPr="0004124E">
        <w:lastRenderedPageBreak/>
        <w:t>Varsanyi, Monica. W. “Immigration Policing Through the Backdoor: City ordinances, the"</w:t>
      </w:r>
    </w:p>
    <w:p w14:paraId="709F0D05" w14:textId="77777777" w:rsidR="000F4977" w:rsidRPr="0004124E" w:rsidRDefault="000F4977" w:rsidP="00F0717A">
      <w:pPr>
        <w:spacing w:line="480" w:lineRule="auto"/>
        <w:ind w:firstLine="720"/>
        <w:jc w:val="both"/>
        <w:rPr>
          <w:i/>
          <w:iCs/>
        </w:rPr>
      </w:pPr>
      <w:r w:rsidRPr="0004124E">
        <w:t>Right to the City," and the Exclusion of Undocumented Day Laborers.” </w:t>
      </w:r>
      <w:r w:rsidRPr="0004124E">
        <w:rPr>
          <w:i/>
          <w:iCs/>
        </w:rPr>
        <w:t>Urban</w:t>
      </w:r>
    </w:p>
    <w:p w14:paraId="20C36B29" w14:textId="0B7C17F8" w:rsidR="000F4977" w:rsidRPr="0004124E" w:rsidRDefault="000F4977" w:rsidP="00F0717A">
      <w:pPr>
        <w:spacing w:line="480" w:lineRule="auto"/>
        <w:ind w:left="720"/>
        <w:jc w:val="both"/>
      </w:pPr>
      <w:r w:rsidRPr="0004124E">
        <w:rPr>
          <w:i/>
          <w:iCs/>
        </w:rPr>
        <w:t>Geography</w:t>
      </w:r>
      <w:r w:rsidRPr="0004124E">
        <w:rPr>
          <w:iCs/>
        </w:rPr>
        <w:t xml:space="preserve"> 29</w:t>
      </w:r>
      <w:r w:rsidRPr="0004124E">
        <w:t>, no. 1 (2008): 29-52. doi: 10.2747/0272-3638.29.1.29</w:t>
      </w:r>
    </w:p>
    <w:p w14:paraId="58B67EC8" w14:textId="77777777" w:rsidR="00EB2CB2" w:rsidRPr="0004124E" w:rsidRDefault="00EB2CB2" w:rsidP="00F0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04124E">
        <w:t xml:space="preserve">Vélez, M.B.” Contextualizing the Immigration and Crime Effect.” </w:t>
      </w:r>
      <w:r w:rsidRPr="0004124E">
        <w:rPr>
          <w:i/>
        </w:rPr>
        <w:t>Homicide Studies</w:t>
      </w:r>
      <w:r w:rsidRPr="0004124E">
        <w:t xml:space="preserve"> 13, </w:t>
      </w:r>
    </w:p>
    <w:p w14:paraId="0B508A22" w14:textId="3D1A6E01" w:rsidR="00EB2CB2" w:rsidRPr="0004124E" w:rsidRDefault="00EB2CB2" w:rsidP="00F0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04124E">
        <w:tab/>
        <w:t>3,(2009):325-335.</w:t>
      </w:r>
    </w:p>
    <w:p w14:paraId="03F2BE6B" w14:textId="213EE22F" w:rsidR="000F4977" w:rsidRPr="0004124E" w:rsidRDefault="000F4977" w:rsidP="00F0717A">
      <w:pPr>
        <w:spacing w:line="480" w:lineRule="auto"/>
        <w:jc w:val="both"/>
      </w:pPr>
      <w:r w:rsidRPr="0004124E">
        <w:t>Vidales, G</w:t>
      </w:r>
      <w:r w:rsidR="00EB2CB2" w:rsidRPr="0004124E">
        <w:t>.</w:t>
      </w:r>
      <w:r w:rsidRPr="0004124E">
        <w:t xml:space="preserve">, Day, </w:t>
      </w:r>
      <w:r w:rsidR="00EB2CB2" w:rsidRPr="0004124E">
        <w:t xml:space="preserve">K. </w:t>
      </w:r>
      <w:r w:rsidRPr="0004124E">
        <w:t>and Powe</w:t>
      </w:r>
      <w:r w:rsidR="00EB2CB2" w:rsidRPr="0004124E">
        <w:t>, M</w:t>
      </w:r>
      <w:r w:rsidRPr="0004124E">
        <w:t>. “Police and Immigration Enforcement:</w:t>
      </w:r>
    </w:p>
    <w:p w14:paraId="127FBD08" w14:textId="77777777" w:rsidR="000F4977" w:rsidRPr="0004124E" w:rsidRDefault="000F4977" w:rsidP="00F0717A">
      <w:pPr>
        <w:spacing w:line="480" w:lineRule="auto"/>
        <w:ind w:firstLine="720"/>
        <w:jc w:val="both"/>
      </w:pPr>
      <w:r w:rsidRPr="0004124E">
        <w:t>Impacts on Latino (a) Residents' Perceptions of Police.” </w:t>
      </w:r>
      <w:r w:rsidRPr="0004124E">
        <w:rPr>
          <w:i/>
          <w:iCs/>
        </w:rPr>
        <w:t>Policing: an International</w:t>
      </w:r>
      <w:r w:rsidRPr="0004124E">
        <w:rPr>
          <w:i/>
          <w:iCs/>
        </w:rPr>
        <w:tab/>
        <w:t>Journal of</w:t>
      </w:r>
      <w:r w:rsidRPr="0004124E">
        <w:t xml:space="preserve"> </w:t>
      </w:r>
      <w:r w:rsidRPr="0004124E">
        <w:rPr>
          <w:i/>
          <w:iCs/>
        </w:rPr>
        <w:t>Police</w:t>
      </w:r>
      <w:r w:rsidRPr="0004124E">
        <w:t xml:space="preserve"> </w:t>
      </w:r>
      <w:r w:rsidRPr="0004124E">
        <w:rPr>
          <w:i/>
          <w:iCs/>
        </w:rPr>
        <w:t xml:space="preserve">Strategies &amp; Management </w:t>
      </w:r>
      <w:r w:rsidRPr="0004124E">
        <w:rPr>
          <w:iCs/>
        </w:rPr>
        <w:t>32</w:t>
      </w:r>
      <w:r w:rsidRPr="0004124E">
        <w:t>, </w:t>
      </w:r>
      <w:r w:rsidRPr="0004124E">
        <w:rPr>
          <w:iCs/>
        </w:rPr>
        <w:t>no.</w:t>
      </w:r>
      <w:r w:rsidRPr="0004124E">
        <w:t>4 (2009): 631-653.</w:t>
      </w:r>
    </w:p>
    <w:p w14:paraId="567F7B84" w14:textId="77777777" w:rsidR="000F4977" w:rsidRPr="0004124E" w:rsidRDefault="000F4977" w:rsidP="00F0717A">
      <w:pPr>
        <w:spacing w:line="480" w:lineRule="auto"/>
        <w:jc w:val="both"/>
      </w:pPr>
      <w:r w:rsidRPr="0004124E">
        <w:t>Weitzer, Ronlad, and Steven A. Tuch. “Racially Biased Policing: Determinants of Citizen</w:t>
      </w:r>
    </w:p>
    <w:p w14:paraId="73B250F0" w14:textId="77777777" w:rsidR="000F4977" w:rsidRPr="00BC38B8" w:rsidRDefault="000F4977" w:rsidP="00F0717A">
      <w:pPr>
        <w:spacing w:line="480" w:lineRule="auto"/>
        <w:ind w:firstLine="720"/>
        <w:jc w:val="both"/>
        <w:rPr>
          <w:lang w:val="fr-FR"/>
        </w:rPr>
      </w:pPr>
      <w:r w:rsidRPr="00BC38B8">
        <w:rPr>
          <w:lang w:val="fr-FR"/>
        </w:rPr>
        <w:t xml:space="preserve">Perceptions.” </w:t>
      </w:r>
      <w:r w:rsidRPr="00BC38B8">
        <w:rPr>
          <w:i/>
          <w:lang w:val="fr-FR"/>
        </w:rPr>
        <w:t xml:space="preserve">Social Forces </w:t>
      </w:r>
      <w:r w:rsidRPr="00BC38B8">
        <w:rPr>
          <w:lang w:val="fr-FR"/>
        </w:rPr>
        <w:t>83, no. 3 (2005): 1009-1030. doi: 10.1353/sof.2005.0050</w:t>
      </w:r>
    </w:p>
    <w:p w14:paraId="1AD80D29" w14:textId="77777777" w:rsidR="000F4977" w:rsidRPr="0004124E" w:rsidRDefault="000F4977" w:rsidP="00F0717A">
      <w:pPr>
        <w:spacing w:line="480" w:lineRule="auto"/>
        <w:jc w:val="both"/>
        <w:rPr>
          <w:i/>
          <w:iCs/>
        </w:rPr>
      </w:pPr>
      <w:r w:rsidRPr="0004124E">
        <w:t>Wishnie, Michael J. “State and Local Police Enforcement of Immigration Laws.” </w:t>
      </w:r>
      <w:r w:rsidRPr="0004124E">
        <w:rPr>
          <w:i/>
          <w:iCs/>
        </w:rPr>
        <w:t xml:space="preserve">University of </w:t>
      </w:r>
    </w:p>
    <w:p w14:paraId="6D7DAF0A" w14:textId="3C3F6EBD" w:rsidR="000F4977" w:rsidRPr="0004124E" w:rsidRDefault="000F4977" w:rsidP="00F0717A">
      <w:pPr>
        <w:spacing w:line="480" w:lineRule="auto"/>
        <w:ind w:firstLine="720"/>
        <w:jc w:val="both"/>
      </w:pPr>
      <w:r w:rsidRPr="0004124E">
        <w:rPr>
          <w:i/>
          <w:iCs/>
        </w:rPr>
        <w:t>Pennsylvania Journal of Constitutional Law</w:t>
      </w:r>
      <w:r w:rsidRPr="0004124E">
        <w:t xml:space="preserve"> </w:t>
      </w:r>
      <w:r w:rsidRPr="0004124E">
        <w:rPr>
          <w:iCs/>
        </w:rPr>
        <w:t>4</w:t>
      </w:r>
      <w:r w:rsidRPr="0004124E">
        <w:t xml:space="preserve"> (2004): 1084-1116.</w:t>
      </w:r>
    </w:p>
    <w:p w14:paraId="41A8EBA6" w14:textId="4C7E9074" w:rsidR="00EB2CB2" w:rsidRPr="0004124E" w:rsidRDefault="00EB2CB2" w:rsidP="00F0717A">
      <w:pPr>
        <w:spacing w:line="480" w:lineRule="auto"/>
        <w:jc w:val="both"/>
      </w:pPr>
      <w:r w:rsidRPr="0004124E">
        <w:t xml:space="preserve">Wu, Y., Sun, I. Y., &amp; Smith, B. W. “Race, Immigration, and Policing: Chinese </w:t>
      </w:r>
    </w:p>
    <w:p w14:paraId="6888233F" w14:textId="67673A59" w:rsidR="00EB2CB2" w:rsidRPr="0004124E" w:rsidRDefault="00EB2CB2" w:rsidP="00F0717A">
      <w:pPr>
        <w:spacing w:line="480" w:lineRule="auto"/>
        <w:jc w:val="both"/>
        <w:rPr>
          <w:i/>
          <w:iCs/>
        </w:rPr>
      </w:pPr>
      <w:r w:rsidRPr="0004124E">
        <w:tab/>
        <w:t>Immigrants' Satisfaction with Police.</w:t>
      </w:r>
      <w:r w:rsidRPr="0004124E">
        <w:rPr>
          <w:rStyle w:val="apple-converted-space"/>
          <w:i/>
          <w:iCs/>
        </w:rPr>
        <w:t> </w:t>
      </w:r>
      <w:r w:rsidRPr="0004124E">
        <w:rPr>
          <w:i/>
          <w:iCs/>
        </w:rPr>
        <w:t>Justice Quarterly,</w:t>
      </w:r>
      <w:r w:rsidRPr="0004124E">
        <w:rPr>
          <w:rStyle w:val="apple-converted-space"/>
          <w:i/>
          <w:iCs/>
        </w:rPr>
        <w:t> </w:t>
      </w:r>
      <w:r w:rsidRPr="0004124E">
        <w:rPr>
          <w:i/>
          <w:iCs/>
        </w:rPr>
        <w:t>28,</w:t>
      </w:r>
      <w:r w:rsidRPr="0004124E">
        <w:t>5, (2011):745-774.</w:t>
      </w:r>
    </w:p>
    <w:p w14:paraId="72E5468A" w14:textId="77777777" w:rsidR="00BB3FA2" w:rsidRPr="00047719" w:rsidRDefault="00BB3FA2" w:rsidP="00F0717A">
      <w:pPr>
        <w:spacing w:line="480" w:lineRule="auto"/>
        <w:jc w:val="both"/>
      </w:pPr>
    </w:p>
    <w:sectPr w:rsidR="00BB3FA2" w:rsidRPr="000477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6C18" w14:textId="77777777" w:rsidR="00BF3963" w:rsidRDefault="00BF3963" w:rsidP="005A0577">
      <w:r>
        <w:separator/>
      </w:r>
    </w:p>
  </w:endnote>
  <w:endnote w:type="continuationSeparator" w:id="0">
    <w:p w14:paraId="06403031" w14:textId="77777777" w:rsidR="00BF3963" w:rsidRDefault="00BF3963" w:rsidP="005A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8DD4" w14:textId="77777777" w:rsidR="00BF3963" w:rsidRDefault="00BF3963" w:rsidP="005A0577">
      <w:r>
        <w:separator/>
      </w:r>
    </w:p>
  </w:footnote>
  <w:footnote w:type="continuationSeparator" w:id="0">
    <w:p w14:paraId="194EFD75" w14:textId="77777777" w:rsidR="00BF3963" w:rsidRDefault="00BF3963" w:rsidP="005A0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965024"/>
      <w:docPartObj>
        <w:docPartGallery w:val="Page Numbers (Top of Page)"/>
        <w:docPartUnique/>
      </w:docPartObj>
    </w:sdtPr>
    <w:sdtEndPr>
      <w:rPr>
        <w:noProof/>
      </w:rPr>
    </w:sdtEndPr>
    <w:sdtContent>
      <w:p w14:paraId="0B86FB6A" w14:textId="48358FAB" w:rsidR="007F70CE" w:rsidRDefault="007F70CE">
        <w:pPr>
          <w:pStyle w:val="Header"/>
          <w:jc w:val="right"/>
        </w:pPr>
        <w:r>
          <w:fldChar w:fldCharType="begin"/>
        </w:r>
        <w:r>
          <w:instrText xml:space="preserve"> PAGE   \* MERGEFORMAT </w:instrText>
        </w:r>
        <w:r>
          <w:fldChar w:fldCharType="separate"/>
        </w:r>
        <w:r w:rsidR="0006418D">
          <w:rPr>
            <w:noProof/>
          </w:rPr>
          <w:t>38</w:t>
        </w:r>
        <w:r>
          <w:rPr>
            <w:noProof/>
          </w:rPr>
          <w:fldChar w:fldCharType="end"/>
        </w:r>
      </w:p>
    </w:sdtContent>
  </w:sdt>
  <w:p w14:paraId="5467BA7E" w14:textId="77777777" w:rsidR="007F70CE" w:rsidRDefault="007F70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1547"/>
    <w:multiLevelType w:val="hybridMultilevel"/>
    <w:tmpl w:val="179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92175"/>
    <w:multiLevelType w:val="hybridMultilevel"/>
    <w:tmpl w:val="8E6AF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2E2B09"/>
    <w:multiLevelType w:val="hybridMultilevel"/>
    <w:tmpl w:val="E786BE0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F6708"/>
    <w:multiLevelType w:val="hybridMultilevel"/>
    <w:tmpl w:val="D0BE9576"/>
    <w:lvl w:ilvl="0" w:tplc="D1C040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467CF"/>
    <w:multiLevelType w:val="hybridMultilevel"/>
    <w:tmpl w:val="D61A40FC"/>
    <w:lvl w:ilvl="0" w:tplc="15907AF6">
      <w:start w:val="47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A759C9"/>
    <w:multiLevelType w:val="hybridMultilevel"/>
    <w:tmpl w:val="7704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75F0E"/>
    <w:multiLevelType w:val="hybridMultilevel"/>
    <w:tmpl w:val="5E36C880"/>
    <w:lvl w:ilvl="0" w:tplc="94A0469C">
      <w:start w:val="4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41B44"/>
    <w:multiLevelType w:val="hybridMultilevel"/>
    <w:tmpl w:val="493AA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C"/>
    <w:rsid w:val="0000280E"/>
    <w:rsid w:val="000044CC"/>
    <w:rsid w:val="000157E7"/>
    <w:rsid w:val="000167BD"/>
    <w:rsid w:val="000215A5"/>
    <w:rsid w:val="00023604"/>
    <w:rsid w:val="0002489C"/>
    <w:rsid w:val="00032C6B"/>
    <w:rsid w:val="000355B2"/>
    <w:rsid w:val="0004124E"/>
    <w:rsid w:val="00042B89"/>
    <w:rsid w:val="000449FB"/>
    <w:rsid w:val="00047227"/>
    <w:rsid w:val="00047719"/>
    <w:rsid w:val="000517A6"/>
    <w:rsid w:val="00054D49"/>
    <w:rsid w:val="00055E02"/>
    <w:rsid w:val="000566A8"/>
    <w:rsid w:val="00060044"/>
    <w:rsid w:val="000634B7"/>
    <w:rsid w:val="00063B12"/>
    <w:rsid w:val="00063DC5"/>
    <w:rsid w:val="0006418D"/>
    <w:rsid w:val="00064C4A"/>
    <w:rsid w:val="0006644F"/>
    <w:rsid w:val="00066DEC"/>
    <w:rsid w:val="00067B02"/>
    <w:rsid w:val="00073632"/>
    <w:rsid w:val="00073AEC"/>
    <w:rsid w:val="00075798"/>
    <w:rsid w:val="00077C7B"/>
    <w:rsid w:val="000878D0"/>
    <w:rsid w:val="00091A12"/>
    <w:rsid w:val="0009421D"/>
    <w:rsid w:val="000A29CF"/>
    <w:rsid w:val="000A2B25"/>
    <w:rsid w:val="000A6D75"/>
    <w:rsid w:val="000B114B"/>
    <w:rsid w:val="000B3F5B"/>
    <w:rsid w:val="000C1AC5"/>
    <w:rsid w:val="000C1B5D"/>
    <w:rsid w:val="000C3782"/>
    <w:rsid w:val="000C623C"/>
    <w:rsid w:val="000C7C42"/>
    <w:rsid w:val="000D53E0"/>
    <w:rsid w:val="000E0B34"/>
    <w:rsid w:val="000E1359"/>
    <w:rsid w:val="000E2203"/>
    <w:rsid w:val="000E3329"/>
    <w:rsid w:val="000F4977"/>
    <w:rsid w:val="00100CB2"/>
    <w:rsid w:val="00100F61"/>
    <w:rsid w:val="00101FD0"/>
    <w:rsid w:val="00105EC9"/>
    <w:rsid w:val="0010652C"/>
    <w:rsid w:val="00106622"/>
    <w:rsid w:val="00107663"/>
    <w:rsid w:val="00112D05"/>
    <w:rsid w:val="00113631"/>
    <w:rsid w:val="001147E7"/>
    <w:rsid w:val="00116912"/>
    <w:rsid w:val="00117169"/>
    <w:rsid w:val="00121AD8"/>
    <w:rsid w:val="001263B7"/>
    <w:rsid w:val="001266C5"/>
    <w:rsid w:val="00131149"/>
    <w:rsid w:val="001329DD"/>
    <w:rsid w:val="00133576"/>
    <w:rsid w:val="00135703"/>
    <w:rsid w:val="00135862"/>
    <w:rsid w:val="00135ACF"/>
    <w:rsid w:val="00136C59"/>
    <w:rsid w:val="001370CE"/>
    <w:rsid w:val="00143F95"/>
    <w:rsid w:val="001471A1"/>
    <w:rsid w:val="001601D1"/>
    <w:rsid w:val="00160BE3"/>
    <w:rsid w:val="00160F0E"/>
    <w:rsid w:val="00161667"/>
    <w:rsid w:val="00161AC6"/>
    <w:rsid w:val="00163303"/>
    <w:rsid w:val="001639B1"/>
    <w:rsid w:val="00166D47"/>
    <w:rsid w:val="001814EC"/>
    <w:rsid w:val="00182F23"/>
    <w:rsid w:val="0018704C"/>
    <w:rsid w:val="00191D85"/>
    <w:rsid w:val="00193A21"/>
    <w:rsid w:val="0019649B"/>
    <w:rsid w:val="00196FBC"/>
    <w:rsid w:val="001A0DF7"/>
    <w:rsid w:val="001B065F"/>
    <w:rsid w:val="001B5C11"/>
    <w:rsid w:val="001C0F5D"/>
    <w:rsid w:val="001C5311"/>
    <w:rsid w:val="001C6739"/>
    <w:rsid w:val="001D0BCE"/>
    <w:rsid w:val="001D53AF"/>
    <w:rsid w:val="001D7C26"/>
    <w:rsid w:val="001E148E"/>
    <w:rsid w:val="001E192A"/>
    <w:rsid w:val="001E45E5"/>
    <w:rsid w:val="001E45EF"/>
    <w:rsid w:val="001E517F"/>
    <w:rsid w:val="001E5D6B"/>
    <w:rsid w:val="001E6FA9"/>
    <w:rsid w:val="001E7962"/>
    <w:rsid w:val="001F5998"/>
    <w:rsid w:val="001F7AB1"/>
    <w:rsid w:val="00200316"/>
    <w:rsid w:val="00201823"/>
    <w:rsid w:val="00205920"/>
    <w:rsid w:val="002123F6"/>
    <w:rsid w:val="002139B3"/>
    <w:rsid w:val="002142D3"/>
    <w:rsid w:val="00215E8C"/>
    <w:rsid w:val="00217DD7"/>
    <w:rsid w:val="0022012A"/>
    <w:rsid w:val="002258E6"/>
    <w:rsid w:val="0022775C"/>
    <w:rsid w:val="0023396E"/>
    <w:rsid w:val="0023656F"/>
    <w:rsid w:val="0023764D"/>
    <w:rsid w:val="002445C2"/>
    <w:rsid w:val="002462C6"/>
    <w:rsid w:val="00246989"/>
    <w:rsid w:val="00252C1D"/>
    <w:rsid w:val="002535D3"/>
    <w:rsid w:val="00254C23"/>
    <w:rsid w:val="0025505E"/>
    <w:rsid w:val="00260A46"/>
    <w:rsid w:val="002633B7"/>
    <w:rsid w:val="00263A82"/>
    <w:rsid w:val="00266919"/>
    <w:rsid w:val="0027034F"/>
    <w:rsid w:val="00271A69"/>
    <w:rsid w:val="00274031"/>
    <w:rsid w:val="00274661"/>
    <w:rsid w:val="0027739D"/>
    <w:rsid w:val="00277545"/>
    <w:rsid w:val="002801E7"/>
    <w:rsid w:val="00281277"/>
    <w:rsid w:val="0028458C"/>
    <w:rsid w:val="002845FA"/>
    <w:rsid w:val="00295204"/>
    <w:rsid w:val="00295502"/>
    <w:rsid w:val="002957CF"/>
    <w:rsid w:val="002A304E"/>
    <w:rsid w:val="002A44C7"/>
    <w:rsid w:val="002A5E7B"/>
    <w:rsid w:val="002B0C8B"/>
    <w:rsid w:val="002B0F0C"/>
    <w:rsid w:val="002B1C85"/>
    <w:rsid w:val="002C2B6D"/>
    <w:rsid w:val="002D0E57"/>
    <w:rsid w:val="002D209B"/>
    <w:rsid w:val="002D2146"/>
    <w:rsid w:val="002D2B3A"/>
    <w:rsid w:val="002D3989"/>
    <w:rsid w:val="002D55FF"/>
    <w:rsid w:val="002D6C02"/>
    <w:rsid w:val="002E25F4"/>
    <w:rsid w:val="002E2A50"/>
    <w:rsid w:val="002E5C01"/>
    <w:rsid w:val="002E5C4C"/>
    <w:rsid w:val="002E7253"/>
    <w:rsid w:val="002F1E2C"/>
    <w:rsid w:val="002F3893"/>
    <w:rsid w:val="002F39A7"/>
    <w:rsid w:val="00300E5E"/>
    <w:rsid w:val="00306F60"/>
    <w:rsid w:val="00307991"/>
    <w:rsid w:val="00312501"/>
    <w:rsid w:val="00312A87"/>
    <w:rsid w:val="00313122"/>
    <w:rsid w:val="0031668C"/>
    <w:rsid w:val="0031798A"/>
    <w:rsid w:val="00326200"/>
    <w:rsid w:val="00330A0F"/>
    <w:rsid w:val="003340A3"/>
    <w:rsid w:val="003366C4"/>
    <w:rsid w:val="003404B9"/>
    <w:rsid w:val="003426CC"/>
    <w:rsid w:val="003446BD"/>
    <w:rsid w:val="003460DD"/>
    <w:rsid w:val="003527E7"/>
    <w:rsid w:val="003661C2"/>
    <w:rsid w:val="00367960"/>
    <w:rsid w:val="0037397D"/>
    <w:rsid w:val="00373CC8"/>
    <w:rsid w:val="00377C9F"/>
    <w:rsid w:val="0038402C"/>
    <w:rsid w:val="00385F27"/>
    <w:rsid w:val="003875CF"/>
    <w:rsid w:val="0039346C"/>
    <w:rsid w:val="00394A27"/>
    <w:rsid w:val="00394DDF"/>
    <w:rsid w:val="003A0B69"/>
    <w:rsid w:val="003A120D"/>
    <w:rsid w:val="003A1A8C"/>
    <w:rsid w:val="003A36BB"/>
    <w:rsid w:val="003A57B4"/>
    <w:rsid w:val="003A5D90"/>
    <w:rsid w:val="003A66BD"/>
    <w:rsid w:val="003B1CA2"/>
    <w:rsid w:val="003B50FF"/>
    <w:rsid w:val="003C1161"/>
    <w:rsid w:val="003C2456"/>
    <w:rsid w:val="003C5A2F"/>
    <w:rsid w:val="003C7701"/>
    <w:rsid w:val="003D001F"/>
    <w:rsid w:val="003D3148"/>
    <w:rsid w:val="003D33C4"/>
    <w:rsid w:val="003D561A"/>
    <w:rsid w:val="003D64EC"/>
    <w:rsid w:val="003D6E15"/>
    <w:rsid w:val="003D7363"/>
    <w:rsid w:val="003E1504"/>
    <w:rsid w:val="003E48D5"/>
    <w:rsid w:val="003E660D"/>
    <w:rsid w:val="003F202B"/>
    <w:rsid w:val="003F6D8E"/>
    <w:rsid w:val="00402BFC"/>
    <w:rsid w:val="0040339B"/>
    <w:rsid w:val="00406981"/>
    <w:rsid w:val="0040709A"/>
    <w:rsid w:val="00407B78"/>
    <w:rsid w:val="00411257"/>
    <w:rsid w:val="00412D35"/>
    <w:rsid w:val="00417885"/>
    <w:rsid w:val="00417EA6"/>
    <w:rsid w:val="00420A77"/>
    <w:rsid w:val="00424362"/>
    <w:rsid w:val="00426CE5"/>
    <w:rsid w:val="00435FD5"/>
    <w:rsid w:val="004448A8"/>
    <w:rsid w:val="00446CB8"/>
    <w:rsid w:val="0044787A"/>
    <w:rsid w:val="0045034E"/>
    <w:rsid w:val="004504C5"/>
    <w:rsid w:val="00450DD2"/>
    <w:rsid w:val="004510B3"/>
    <w:rsid w:val="00453634"/>
    <w:rsid w:val="00454EA4"/>
    <w:rsid w:val="00460355"/>
    <w:rsid w:val="004603D2"/>
    <w:rsid w:val="004643C7"/>
    <w:rsid w:val="004677D6"/>
    <w:rsid w:val="00472247"/>
    <w:rsid w:val="00474D3C"/>
    <w:rsid w:val="00475D73"/>
    <w:rsid w:val="0047670C"/>
    <w:rsid w:val="004776E2"/>
    <w:rsid w:val="00481E44"/>
    <w:rsid w:val="00485E62"/>
    <w:rsid w:val="004865C7"/>
    <w:rsid w:val="00491031"/>
    <w:rsid w:val="00492F8A"/>
    <w:rsid w:val="004934DB"/>
    <w:rsid w:val="004936D7"/>
    <w:rsid w:val="00494540"/>
    <w:rsid w:val="00497F6F"/>
    <w:rsid w:val="004A2A11"/>
    <w:rsid w:val="004A41BF"/>
    <w:rsid w:val="004A504A"/>
    <w:rsid w:val="004A6290"/>
    <w:rsid w:val="004B414E"/>
    <w:rsid w:val="004B5B34"/>
    <w:rsid w:val="004C2F3E"/>
    <w:rsid w:val="004C3CCD"/>
    <w:rsid w:val="004D006D"/>
    <w:rsid w:val="004D087F"/>
    <w:rsid w:val="004D28CD"/>
    <w:rsid w:val="004D444F"/>
    <w:rsid w:val="004D59D1"/>
    <w:rsid w:val="004D61FD"/>
    <w:rsid w:val="004E30F9"/>
    <w:rsid w:val="004F0150"/>
    <w:rsid w:val="004F6F7A"/>
    <w:rsid w:val="00501AB6"/>
    <w:rsid w:val="0050210F"/>
    <w:rsid w:val="00504840"/>
    <w:rsid w:val="005144D0"/>
    <w:rsid w:val="005178B5"/>
    <w:rsid w:val="00520204"/>
    <w:rsid w:val="005226B4"/>
    <w:rsid w:val="00523C99"/>
    <w:rsid w:val="00526794"/>
    <w:rsid w:val="00533A5A"/>
    <w:rsid w:val="005343A9"/>
    <w:rsid w:val="00534605"/>
    <w:rsid w:val="00537AC3"/>
    <w:rsid w:val="00544423"/>
    <w:rsid w:val="005456A4"/>
    <w:rsid w:val="00545EAC"/>
    <w:rsid w:val="00550862"/>
    <w:rsid w:val="00550CED"/>
    <w:rsid w:val="00552DE7"/>
    <w:rsid w:val="00554B2E"/>
    <w:rsid w:val="00554CC8"/>
    <w:rsid w:val="0055546E"/>
    <w:rsid w:val="0055669E"/>
    <w:rsid w:val="005656C5"/>
    <w:rsid w:val="005703B0"/>
    <w:rsid w:val="00570DC4"/>
    <w:rsid w:val="00573360"/>
    <w:rsid w:val="005759DC"/>
    <w:rsid w:val="00577202"/>
    <w:rsid w:val="0058185B"/>
    <w:rsid w:val="00584175"/>
    <w:rsid w:val="0058418D"/>
    <w:rsid w:val="0058429C"/>
    <w:rsid w:val="00590763"/>
    <w:rsid w:val="00591901"/>
    <w:rsid w:val="005A0577"/>
    <w:rsid w:val="005A41DC"/>
    <w:rsid w:val="005A6B11"/>
    <w:rsid w:val="005C204E"/>
    <w:rsid w:val="005C2312"/>
    <w:rsid w:val="005D13B6"/>
    <w:rsid w:val="005D2F7B"/>
    <w:rsid w:val="005E3900"/>
    <w:rsid w:val="005E4C4D"/>
    <w:rsid w:val="005E7C00"/>
    <w:rsid w:val="005F20B9"/>
    <w:rsid w:val="005F3FEA"/>
    <w:rsid w:val="00600347"/>
    <w:rsid w:val="00602C06"/>
    <w:rsid w:val="00615A84"/>
    <w:rsid w:val="006164B2"/>
    <w:rsid w:val="006211F7"/>
    <w:rsid w:val="00622EF3"/>
    <w:rsid w:val="00623E57"/>
    <w:rsid w:val="00626248"/>
    <w:rsid w:val="00627AAE"/>
    <w:rsid w:val="00631767"/>
    <w:rsid w:val="00632981"/>
    <w:rsid w:val="006359BC"/>
    <w:rsid w:val="00637CA5"/>
    <w:rsid w:val="00642684"/>
    <w:rsid w:val="006446C8"/>
    <w:rsid w:val="00647188"/>
    <w:rsid w:val="0064753A"/>
    <w:rsid w:val="00650ADD"/>
    <w:rsid w:val="006511FE"/>
    <w:rsid w:val="00655070"/>
    <w:rsid w:val="006616A0"/>
    <w:rsid w:val="00661DC2"/>
    <w:rsid w:val="00663EEA"/>
    <w:rsid w:val="00664570"/>
    <w:rsid w:val="006709D2"/>
    <w:rsid w:val="00671566"/>
    <w:rsid w:val="0067355B"/>
    <w:rsid w:val="006735A9"/>
    <w:rsid w:val="00673E65"/>
    <w:rsid w:val="0067647B"/>
    <w:rsid w:val="0067739E"/>
    <w:rsid w:val="00680EB2"/>
    <w:rsid w:val="00690173"/>
    <w:rsid w:val="0069050F"/>
    <w:rsid w:val="00691CCE"/>
    <w:rsid w:val="00693956"/>
    <w:rsid w:val="00693F46"/>
    <w:rsid w:val="006A15AB"/>
    <w:rsid w:val="006A4323"/>
    <w:rsid w:val="006A53DE"/>
    <w:rsid w:val="006B2575"/>
    <w:rsid w:val="006B34B9"/>
    <w:rsid w:val="006B6312"/>
    <w:rsid w:val="006B68D1"/>
    <w:rsid w:val="006B7804"/>
    <w:rsid w:val="006B7CD8"/>
    <w:rsid w:val="006C2DFA"/>
    <w:rsid w:val="006C5F34"/>
    <w:rsid w:val="006D278C"/>
    <w:rsid w:val="006D3E80"/>
    <w:rsid w:val="006D7649"/>
    <w:rsid w:val="006E21A8"/>
    <w:rsid w:val="006E2F95"/>
    <w:rsid w:val="006E50AA"/>
    <w:rsid w:val="006E6F85"/>
    <w:rsid w:val="006F13E7"/>
    <w:rsid w:val="006F27F1"/>
    <w:rsid w:val="006F29D6"/>
    <w:rsid w:val="006F352A"/>
    <w:rsid w:val="007025F6"/>
    <w:rsid w:val="007162DC"/>
    <w:rsid w:val="00717A5B"/>
    <w:rsid w:val="00720FD9"/>
    <w:rsid w:val="00722B62"/>
    <w:rsid w:val="007330DA"/>
    <w:rsid w:val="00733EE8"/>
    <w:rsid w:val="0075072B"/>
    <w:rsid w:val="00763F2D"/>
    <w:rsid w:val="0076457A"/>
    <w:rsid w:val="00765DB5"/>
    <w:rsid w:val="00766BE0"/>
    <w:rsid w:val="00766C5A"/>
    <w:rsid w:val="00767CAB"/>
    <w:rsid w:val="007705B1"/>
    <w:rsid w:val="007745E4"/>
    <w:rsid w:val="00775AB8"/>
    <w:rsid w:val="00776C8D"/>
    <w:rsid w:val="00777613"/>
    <w:rsid w:val="007816E5"/>
    <w:rsid w:val="00781D5E"/>
    <w:rsid w:val="0079094D"/>
    <w:rsid w:val="0079169D"/>
    <w:rsid w:val="007931AA"/>
    <w:rsid w:val="00796E92"/>
    <w:rsid w:val="007A1B74"/>
    <w:rsid w:val="007A4E88"/>
    <w:rsid w:val="007A4F4F"/>
    <w:rsid w:val="007B25F2"/>
    <w:rsid w:val="007C0025"/>
    <w:rsid w:val="007C30D9"/>
    <w:rsid w:val="007C4AE8"/>
    <w:rsid w:val="007C5C72"/>
    <w:rsid w:val="007D004C"/>
    <w:rsid w:val="007D0640"/>
    <w:rsid w:val="007D0E63"/>
    <w:rsid w:val="007D3A2B"/>
    <w:rsid w:val="007D453A"/>
    <w:rsid w:val="007D5C5B"/>
    <w:rsid w:val="007E2862"/>
    <w:rsid w:val="007E3E9C"/>
    <w:rsid w:val="007E4C0E"/>
    <w:rsid w:val="007E6072"/>
    <w:rsid w:val="007F0D4A"/>
    <w:rsid w:val="007F1DDD"/>
    <w:rsid w:val="007F4BAE"/>
    <w:rsid w:val="007F6FD7"/>
    <w:rsid w:val="007F70CE"/>
    <w:rsid w:val="0080147B"/>
    <w:rsid w:val="00802357"/>
    <w:rsid w:val="0080466F"/>
    <w:rsid w:val="00805F7F"/>
    <w:rsid w:val="008077AF"/>
    <w:rsid w:val="0081092D"/>
    <w:rsid w:val="0081151A"/>
    <w:rsid w:val="0081488A"/>
    <w:rsid w:val="00823951"/>
    <w:rsid w:val="0082786C"/>
    <w:rsid w:val="00834A63"/>
    <w:rsid w:val="00836491"/>
    <w:rsid w:val="0084213D"/>
    <w:rsid w:val="00844158"/>
    <w:rsid w:val="008450EF"/>
    <w:rsid w:val="008535B3"/>
    <w:rsid w:val="00855484"/>
    <w:rsid w:val="00857329"/>
    <w:rsid w:val="008601E1"/>
    <w:rsid w:val="00861E2B"/>
    <w:rsid w:val="008632E6"/>
    <w:rsid w:val="00864D74"/>
    <w:rsid w:val="00865405"/>
    <w:rsid w:val="00866420"/>
    <w:rsid w:val="00866B7B"/>
    <w:rsid w:val="0086735E"/>
    <w:rsid w:val="00872036"/>
    <w:rsid w:val="00873CE4"/>
    <w:rsid w:val="00874E20"/>
    <w:rsid w:val="008755D9"/>
    <w:rsid w:val="00876459"/>
    <w:rsid w:val="008768C0"/>
    <w:rsid w:val="00881206"/>
    <w:rsid w:val="00883F5F"/>
    <w:rsid w:val="00884B06"/>
    <w:rsid w:val="0088730F"/>
    <w:rsid w:val="00897AD5"/>
    <w:rsid w:val="008A0610"/>
    <w:rsid w:val="008A2399"/>
    <w:rsid w:val="008B0B3C"/>
    <w:rsid w:val="008B0D82"/>
    <w:rsid w:val="008B6BEE"/>
    <w:rsid w:val="008C3488"/>
    <w:rsid w:val="008D1F33"/>
    <w:rsid w:val="008D2A53"/>
    <w:rsid w:val="008D3F09"/>
    <w:rsid w:val="008D424C"/>
    <w:rsid w:val="008D4EAE"/>
    <w:rsid w:val="008D5517"/>
    <w:rsid w:val="008D652D"/>
    <w:rsid w:val="008E434B"/>
    <w:rsid w:val="008E5EB4"/>
    <w:rsid w:val="008F3603"/>
    <w:rsid w:val="008F4708"/>
    <w:rsid w:val="008F471A"/>
    <w:rsid w:val="008F495E"/>
    <w:rsid w:val="008F4E8F"/>
    <w:rsid w:val="008F7882"/>
    <w:rsid w:val="009030E2"/>
    <w:rsid w:val="00903936"/>
    <w:rsid w:val="00911AFA"/>
    <w:rsid w:val="009149F3"/>
    <w:rsid w:val="00917761"/>
    <w:rsid w:val="009211D8"/>
    <w:rsid w:val="00921F53"/>
    <w:rsid w:val="00923B7F"/>
    <w:rsid w:val="009273BE"/>
    <w:rsid w:val="00927CCF"/>
    <w:rsid w:val="00927CD1"/>
    <w:rsid w:val="00934529"/>
    <w:rsid w:val="00934C93"/>
    <w:rsid w:val="009353EA"/>
    <w:rsid w:val="0093593E"/>
    <w:rsid w:val="00936289"/>
    <w:rsid w:val="00937A1D"/>
    <w:rsid w:val="009422A6"/>
    <w:rsid w:val="00947B61"/>
    <w:rsid w:val="009513CF"/>
    <w:rsid w:val="009529B0"/>
    <w:rsid w:val="009566C8"/>
    <w:rsid w:val="0095705F"/>
    <w:rsid w:val="00957134"/>
    <w:rsid w:val="009578EA"/>
    <w:rsid w:val="009600D1"/>
    <w:rsid w:val="0096040E"/>
    <w:rsid w:val="009610C4"/>
    <w:rsid w:val="00965AF2"/>
    <w:rsid w:val="0097101A"/>
    <w:rsid w:val="009716D7"/>
    <w:rsid w:val="009720EB"/>
    <w:rsid w:val="009731D8"/>
    <w:rsid w:val="009735A9"/>
    <w:rsid w:val="00975DE0"/>
    <w:rsid w:val="00977CAA"/>
    <w:rsid w:val="0098119C"/>
    <w:rsid w:val="00981C79"/>
    <w:rsid w:val="00982950"/>
    <w:rsid w:val="009829EE"/>
    <w:rsid w:val="009837D6"/>
    <w:rsid w:val="00987A72"/>
    <w:rsid w:val="0099245D"/>
    <w:rsid w:val="00995200"/>
    <w:rsid w:val="00995B19"/>
    <w:rsid w:val="009A07A5"/>
    <w:rsid w:val="009A6603"/>
    <w:rsid w:val="009B31EB"/>
    <w:rsid w:val="009B3A29"/>
    <w:rsid w:val="009B403A"/>
    <w:rsid w:val="009B7924"/>
    <w:rsid w:val="009C1810"/>
    <w:rsid w:val="009C1FC4"/>
    <w:rsid w:val="009C23ED"/>
    <w:rsid w:val="009C2917"/>
    <w:rsid w:val="009C2F95"/>
    <w:rsid w:val="009C3197"/>
    <w:rsid w:val="009C414C"/>
    <w:rsid w:val="009D155E"/>
    <w:rsid w:val="009D2352"/>
    <w:rsid w:val="009D2ED7"/>
    <w:rsid w:val="009D3EF7"/>
    <w:rsid w:val="009D7976"/>
    <w:rsid w:val="009E5520"/>
    <w:rsid w:val="009E5738"/>
    <w:rsid w:val="009F2A4B"/>
    <w:rsid w:val="009F3B43"/>
    <w:rsid w:val="009F4795"/>
    <w:rsid w:val="009F59B1"/>
    <w:rsid w:val="009F6351"/>
    <w:rsid w:val="00A022B4"/>
    <w:rsid w:val="00A0378F"/>
    <w:rsid w:val="00A05714"/>
    <w:rsid w:val="00A0647C"/>
    <w:rsid w:val="00A064E8"/>
    <w:rsid w:val="00A12858"/>
    <w:rsid w:val="00A1529C"/>
    <w:rsid w:val="00A176D5"/>
    <w:rsid w:val="00A21A07"/>
    <w:rsid w:val="00A24DDB"/>
    <w:rsid w:val="00A25B5F"/>
    <w:rsid w:val="00A25D2A"/>
    <w:rsid w:val="00A25F5D"/>
    <w:rsid w:val="00A27393"/>
    <w:rsid w:val="00A3113E"/>
    <w:rsid w:val="00A328B5"/>
    <w:rsid w:val="00A32F21"/>
    <w:rsid w:val="00A337B9"/>
    <w:rsid w:val="00A34C15"/>
    <w:rsid w:val="00A438FE"/>
    <w:rsid w:val="00A45BC7"/>
    <w:rsid w:val="00A46587"/>
    <w:rsid w:val="00A5340B"/>
    <w:rsid w:val="00A53613"/>
    <w:rsid w:val="00A55828"/>
    <w:rsid w:val="00A616EA"/>
    <w:rsid w:val="00A62F0B"/>
    <w:rsid w:val="00A63C69"/>
    <w:rsid w:val="00A641DC"/>
    <w:rsid w:val="00A754FD"/>
    <w:rsid w:val="00A85298"/>
    <w:rsid w:val="00A87D6A"/>
    <w:rsid w:val="00A87F8A"/>
    <w:rsid w:val="00A90796"/>
    <w:rsid w:val="00A978FF"/>
    <w:rsid w:val="00AB48F5"/>
    <w:rsid w:val="00AB717E"/>
    <w:rsid w:val="00AB747E"/>
    <w:rsid w:val="00AC11DA"/>
    <w:rsid w:val="00AC4FAF"/>
    <w:rsid w:val="00AD0ED9"/>
    <w:rsid w:val="00AD1E03"/>
    <w:rsid w:val="00AD75F3"/>
    <w:rsid w:val="00AE1283"/>
    <w:rsid w:val="00AE24DF"/>
    <w:rsid w:val="00AE4C7F"/>
    <w:rsid w:val="00AE596B"/>
    <w:rsid w:val="00AF29E6"/>
    <w:rsid w:val="00AF2E7B"/>
    <w:rsid w:val="00AF678A"/>
    <w:rsid w:val="00AF7991"/>
    <w:rsid w:val="00AF7D94"/>
    <w:rsid w:val="00B02EF2"/>
    <w:rsid w:val="00B03452"/>
    <w:rsid w:val="00B05C56"/>
    <w:rsid w:val="00B07F42"/>
    <w:rsid w:val="00B103CA"/>
    <w:rsid w:val="00B11552"/>
    <w:rsid w:val="00B11E2B"/>
    <w:rsid w:val="00B137BE"/>
    <w:rsid w:val="00B15604"/>
    <w:rsid w:val="00B165A0"/>
    <w:rsid w:val="00B167E7"/>
    <w:rsid w:val="00B16D78"/>
    <w:rsid w:val="00B16DFE"/>
    <w:rsid w:val="00B17974"/>
    <w:rsid w:val="00B22494"/>
    <w:rsid w:val="00B25C90"/>
    <w:rsid w:val="00B26A03"/>
    <w:rsid w:val="00B276FF"/>
    <w:rsid w:val="00B30BA9"/>
    <w:rsid w:val="00B315C4"/>
    <w:rsid w:val="00B31981"/>
    <w:rsid w:val="00B33DD8"/>
    <w:rsid w:val="00B34C90"/>
    <w:rsid w:val="00B3536A"/>
    <w:rsid w:val="00B36C5E"/>
    <w:rsid w:val="00B37354"/>
    <w:rsid w:val="00B427A5"/>
    <w:rsid w:val="00B44620"/>
    <w:rsid w:val="00B46B32"/>
    <w:rsid w:val="00B51638"/>
    <w:rsid w:val="00B53873"/>
    <w:rsid w:val="00B54516"/>
    <w:rsid w:val="00B578B1"/>
    <w:rsid w:val="00B61F3E"/>
    <w:rsid w:val="00B632ED"/>
    <w:rsid w:val="00B751C8"/>
    <w:rsid w:val="00B75D6C"/>
    <w:rsid w:val="00B81D29"/>
    <w:rsid w:val="00B875A7"/>
    <w:rsid w:val="00B90A77"/>
    <w:rsid w:val="00B92138"/>
    <w:rsid w:val="00B953AD"/>
    <w:rsid w:val="00BA1E7B"/>
    <w:rsid w:val="00BA2A4E"/>
    <w:rsid w:val="00BA342D"/>
    <w:rsid w:val="00BA596D"/>
    <w:rsid w:val="00BA603B"/>
    <w:rsid w:val="00BB3FA2"/>
    <w:rsid w:val="00BB4341"/>
    <w:rsid w:val="00BB769D"/>
    <w:rsid w:val="00BB77E3"/>
    <w:rsid w:val="00BC38B8"/>
    <w:rsid w:val="00BC519A"/>
    <w:rsid w:val="00BC6F3A"/>
    <w:rsid w:val="00BC77F2"/>
    <w:rsid w:val="00BD0B41"/>
    <w:rsid w:val="00BD0C89"/>
    <w:rsid w:val="00BD1D5D"/>
    <w:rsid w:val="00BD275C"/>
    <w:rsid w:val="00BE3BA8"/>
    <w:rsid w:val="00BF32C3"/>
    <w:rsid w:val="00BF3963"/>
    <w:rsid w:val="00BF50B7"/>
    <w:rsid w:val="00C03420"/>
    <w:rsid w:val="00C062D5"/>
    <w:rsid w:val="00C115EF"/>
    <w:rsid w:val="00C132D3"/>
    <w:rsid w:val="00C13F92"/>
    <w:rsid w:val="00C23878"/>
    <w:rsid w:val="00C320D0"/>
    <w:rsid w:val="00C32CE5"/>
    <w:rsid w:val="00C3352C"/>
    <w:rsid w:val="00C40363"/>
    <w:rsid w:val="00C4478F"/>
    <w:rsid w:val="00C47026"/>
    <w:rsid w:val="00C53849"/>
    <w:rsid w:val="00C5387B"/>
    <w:rsid w:val="00C620B8"/>
    <w:rsid w:val="00C62930"/>
    <w:rsid w:val="00C66595"/>
    <w:rsid w:val="00C718C8"/>
    <w:rsid w:val="00C72189"/>
    <w:rsid w:val="00C809AC"/>
    <w:rsid w:val="00C80C7D"/>
    <w:rsid w:val="00C81BA1"/>
    <w:rsid w:val="00C85FC5"/>
    <w:rsid w:val="00C87BE7"/>
    <w:rsid w:val="00C90256"/>
    <w:rsid w:val="00C94B6D"/>
    <w:rsid w:val="00C959EF"/>
    <w:rsid w:val="00C96A10"/>
    <w:rsid w:val="00C977E5"/>
    <w:rsid w:val="00CA452B"/>
    <w:rsid w:val="00CA5362"/>
    <w:rsid w:val="00CA71BF"/>
    <w:rsid w:val="00CB044D"/>
    <w:rsid w:val="00CB1250"/>
    <w:rsid w:val="00CB2FD3"/>
    <w:rsid w:val="00CC3300"/>
    <w:rsid w:val="00CC539C"/>
    <w:rsid w:val="00CC5F29"/>
    <w:rsid w:val="00CD0A1C"/>
    <w:rsid w:val="00CD60A2"/>
    <w:rsid w:val="00CD6AB9"/>
    <w:rsid w:val="00CD708A"/>
    <w:rsid w:val="00CE0680"/>
    <w:rsid w:val="00CE1735"/>
    <w:rsid w:val="00CE2D86"/>
    <w:rsid w:val="00CE3B97"/>
    <w:rsid w:val="00CE692B"/>
    <w:rsid w:val="00CF4D5D"/>
    <w:rsid w:val="00CF7505"/>
    <w:rsid w:val="00D00F99"/>
    <w:rsid w:val="00D01400"/>
    <w:rsid w:val="00D057EB"/>
    <w:rsid w:val="00D138A8"/>
    <w:rsid w:val="00D16F0E"/>
    <w:rsid w:val="00D177CE"/>
    <w:rsid w:val="00D17D80"/>
    <w:rsid w:val="00D22F8C"/>
    <w:rsid w:val="00D24BE4"/>
    <w:rsid w:val="00D2590D"/>
    <w:rsid w:val="00D266DC"/>
    <w:rsid w:val="00D2704C"/>
    <w:rsid w:val="00D34420"/>
    <w:rsid w:val="00D43791"/>
    <w:rsid w:val="00D43DB3"/>
    <w:rsid w:val="00D45565"/>
    <w:rsid w:val="00D46262"/>
    <w:rsid w:val="00D46C34"/>
    <w:rsid w:val="00D5447D"/>
    <w:rsid w:val="00D63290"/>
    <w:rsid w:val="00D63E9C"/>
    <w:rsid w:val="00D676B6"/>
    <w:rsid w:val="00D67918"/>
    <w:rsid w:val="00D72C54"/>
    <w:rsid w:val="00D72FC9"/>
    <w:rsid w:val="00D73832"/>
    <w:rsid w:val="00D74844"/>
    <w:rsid w:val="00D76D36"/>
    <w:rsid w:val="00D81617"/>
    <w:rsid w:val="00D84A36"/>
    <w:rsid w:val="00D84DE3"/>
    <w:rsid w:val="00D85B98"/>
    <w:rsid w:val="00D869B1"/>
    <w:rsid w:val="00D95EAE"/>
    <w:rsid w:val="00DA0B32"/>
    <w:rsid w:val="00DA1193"/>
    <w:rsid w:val="00DA38DE"/>
    <w:rsid w:val="00DA4EEA"/>
    <w:rsid w:val="00DA6AA9"/>
    <w:rsid w:val="00DB2A19"/>
    <w:rsid w:val="00DB367A"/>
    <w:rsid w:val="00DB59A7"/>
    <w:rsid w:val="00DB63CF"/>
    <w:rsid w:val="00DC035F"/>
    <w:rsid w:val="00DC2C4A"/>
    <w:rsid w:val="00DC3864"/>
    <w:rsid w:val="00DC620B"/>
    <w:rsid w:val="00DD2DB8"/>
    <w:rsid w:val="00DE13BC"/>
    <w:rsid w:val="00DE3226"/>
    <w:rsid w:val="00DF518B"/>
    <w:rsid w:val="00E00184"/>
    <w:rsid w:val="00E069CA"/>
    <w:rsid w:val="00E0753B"/>
    <w:rsid w:val="00E10A61"/>
    <w:rsid w:val="00E1409A"/>
    <w:rsid w:val="00E1784E"/>
    <w:rsid w:val="00E22EE6"/>
    <w:rsid w:val="00E2360A"/>
    <w:rsid w:val="00E277FB"/>
    <w:rsid w:val="00E319E2"/>
    <w:rsid w:val="00E33991"/>
    <w:rsid w:val="00E40653"/>
    <w:rsid w:val="00E4124E"/>
    <w:rsid w:val="00E4488D"/>
    <w:rsid w:val="00E45E87"/>
    <w:rsid w:val="00E52339"/>
    <w:rsid w:val="00E5479E"/>
    <w:rsid w:val="00E548A0"/>
    <w:rsid w:val="00E63067"/>
    <w:rsid w:val="00E718F0"/>
    <w:rsid w:val="00E72ECC"/>
    <w:rsid w:val="00E75C57"/>
    <w:rsid w:val="00E8355F"/>
    <w:rsid w:val="00E85772"/>
    <w:rsid w:val="00E86FB7"/>
    <w:rsid w:val="00E90C30"/>
    <w:rsid w:val="00E9174F"/>
    <w:rsid w:val="00E95128"/>
    <w:rsid w:val="00EA2721"/>
    <w:rsid w:val="00EA3971"/>
    <w:rsid w:val="00EA4425"/>
    <w:rsid w:val="00EB05CE"/>
    <w:rsid w:val="00EB2CB2"/>
    <w:rsid w:val="00EB6415"/>
    <w:rsid w:val="00EC2F4A"/>
    <w:rsid w:val="00EC3C81"/>
    <w:rsid w:val="00EC62E3"/>
    <w:rsid w:val="00ED0A4A"/>
    <w:rsid w:val="00ED2588"/>
    <w:rsid w:val="00ED28C4"/>
    <w:rsid w:val="00ED2EDD"/>
    <w:rsid w:val="00ED46E9"/>
    <w:rsid w:val="00ED51DD"/>
    <w:rsid w:val="00ED5ED6"/>
    <w:rsid w:val="00EE1CC3"/>
    <w:rsid w:val="00EE2A8F"/>
    <w:rsid w:val="00EE3412"/>
    <w:rsid w:val="00EE588B"/>
    <w:rsid w:val="00EF15D9"/>
    <w:rsid w:val="00EF3769"/>
    <w:rsid w:val="00EF3C4B"/>
    <w:rsid w:val="00EF4292"/>
    <w:rsid w:val="00EF6049"/>
    <w:rsid w:val="00F0338A"/>
    <w:rsid w:val="00F0649E"/>
    <w:rsid w:val="00F0717A"/>
    <w:rsid w:val="00F10A9D"/>
    <w:rsid w:val="00F10F39"/>
    <w:rsid w:val="00F12D7C"/>
    <w:rsid w:val="00F22006"/>
    <w:rsid w:val="00F24B3A"/>
    <w:rsid w:val="00F25378"/>
    <w:rsid w:val="00F30FEC"/>
    <w:rsid w:val="00F31FAC"/>
    <w:rsid w:val="00F322EC"/>
    <w:rsid w:val="00F32B79"/>
    <w:rsid w:val="00F3535F"/>
    <w:rsid w:val="00F36F98"/>
    <w:rsid w:val="00F37DCD"/>
    <w:rsid w:val="00F42DFF"/>
    <w:rsid w:val="00F441DE"/>
    <w:rsid w:val="00F46619"/>
    <w:rsid w:val="00F50B38"/>
    <w:rsid w:val="00F50C91"/>
    <w:rsid w:val="00F532D8"/>
    <w:rsid w:val="00F54E2A"/>
    <w:rsid w:val="00F55365"/>
    <w:rsid w:val="00F60125"/>
    <w:rsid w:val="00F62654"/>
    <w:rsid w:val="00F62851"/>
    <w:rsid w:val="00F770F5"/>
    <w:rsid w:val="00F772AB"/>
    <w:rsid w:val="00F819C9"/>
    <w:rsid w:val="00F819CC"/>
    <w:rsid w:val="00F83834"/>
    <w:rsid w:val="00F83D61"/>
    <w:rsid w:val="00F91EFD"/>
    <w:rsid w:val="00F97863"/>
    <w:rsid w:val="00FA0B5E"/>
    <w:rsid w:val="00FA34BA"/>
    <w:rsid w:val="00FA38B4"/>
    <w:rsid w:val="00FB01BE"/>
    <w:rsid w:val="00FB4196"/>
    <w:rsid w:val="00FB6C59"/>
    <w:rsid w:val="00FB702D"/>
    <w:rsid w:val="00FC3C30"/>
    <w:rsid w:val="00FC78CC"/>
    <w:rsid w:val="00FD0C9B"/>
    <w:rsid w:val="00FD21B4"/>
    <w:rsid w:val="00FD25FC"/>
    <w:rsid w:val="00FD2779"/>
    <w:rsid w:val="00FD48B2"/>
    <w:rsid w:val="00FE7349"/>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B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44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A0B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6D"/>
    <w:pPr>
      <w:ind w:left="720"/>
      <w:contextualSpacing/>
    </w:pPr>
  </w:style>
  <w:style w:type="paragraph" w:styleId="Header">
    <w:name w:val="header"/>
    <w:basedOn w:val="Normal"/>
    <w:link w:val="HeaderChar"/>
    <w:uiPriority w:val="99"/>
    <w:unhideWhenUsed/>
    <w:rsid w:val="005A0577"/>
    <w:pPr>
      <w:tabs>
        <w:tab w:val="center" w:pos="4680"/>
        <w:tab w:val="right" w:pos="9360"/>
      </w:tabs>
    </w:pPr>
  </w:style>
  <w:style w:type="character" w:customStyle="1" w:styleId="HeaderChar">
    <w:name w:val="Header Char"/>
    <w:basedOn w:val="DefaultParagraphFont"/>
    <w:link w:val="Header"/>
    <w:uiPriority w:val="99"/>
    <w:rsid w:val="005A0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577"/>
    <w:pPr>
      <w:tabs>
        <w:tab w:val="center" w:pos="4680"/>
        <w:tab w:val="right" w:pos="9360"/>
      </w:tabs>
    </w:pPr>
  </w:style>
  <w:style w:type="character" w:customStyle="1" w:styleId="FooterChar">
    <w:name w:val="Footer Char"/>
    <w:basedOn w:val="DefaultParagraphFont"/>
    <w:link w:val="Footer"/>
    <w:uiPriority w:val="99"/>
    <w:rsid w:val="005A05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329"/>
    <w:rPr>
      <w:rFonts w:ascii="Tahoma" w:hAnsi="Tahoma" w:cs="Tahoma"/>
      <w:sz w:val="16"/>
      <w:szCs w:val="16"/>
    </w:rPr>
  </w:style>
  <w:style w:type="character" w:customStyle="1" w:styleId="BalloonTextChar">
    <w:name w:val="Balloon Text Char"/>
    <w:basedOn w:val="DefaultParagraphFont"/>
    <w:link w:val="BalloonText"/>
    <w:uiPriority w:val="99"/>
    <w:semiHidden/>
    <w:rsid w:val="00857329"/>
    <w:rPr>
      <w:rFonts w:ascii="Tahoma" w:eastAsia="Times New Roman" w:hAnsi="Tahoma" w:cs="Tahoma"/>
      <w:sz w:val="16"/>
      <w:szCs w:val="16"/>
    </w:rPr>
  </w:style>
  <w:style w:type="character" w:customStyle="1" w:styleId="Heading1Char">
    <w:name w:val="Heading 1 Char"/>
    <w:basedOn w:val="DefaultParagraphFont"/>
    <w:link w:val="Heading1"/>
    <w:uiPriority w:val="9"/>
    <w:rsid w:val="000044C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76D36"/>
    <w:rPr>
      <w:sz w:val="16"/>
      <w:szCs w:val="16"/>
    </w:rPr>
  </w:style>
  <w:style w:type="paragraph" w:styleId="CommentText">
    <w:name w:val="annotation text"/>
    <w:basedOn w:val="Normal"/>
    <w:link w:val="CommentTextChar"/>
    <w:uiPriority w:val="99"/>
    <w:semiHidden/>
    <w:unhideWhenUsed/>
    <w:rsid w:val="00D76D3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6D36"/>
    <w:rPr>
      <w:sz w:val="20"/>
      <w:szCs w:val="20"/>
    </w:rPr>
  </w:style>
  <w:style w:type="character" w:customStyle="1" w:styleId="apple-converted-space">
    <w:name w:val="apple-converted-space"/>
    <w:basedOn w:val="DefaultParagraphFont"/>
    <w:rsid w:val="00BB3FA2"/>
  </w:style>
  <w:style w:type="character" w:customStyle="1" w:styleId="Heading5Char">
    <w:name w:val="Heading 5 Char"/>
    <w:basedOn w:val="DefaultParagraphFont"/>
    <w:link w:val="Heading5"/>
    <w:uiPriority w:val="9"/>
    <w:semiHidden/>
    <w:rsid w:val="00FA0B5E"/>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A45BC7"/>
    <w:rPr>
      <w:color w:val="0563C1" w:themeColor="hyperlink"/>
      <w:u w:val="single"/>
    </w:rPr>
  </w:style>
  <w:style w:type="character" w:customStyle="1" w:styleId="hit">
    <w:name w:val="hit"/>
    <w:basedOn w:val="DefaultParagraphFont"/>
    <w:rsid w:val="00A176D5"/>
  </w:style>
  <w:style w:type="paragraph" w:customStyle="1" w:styleId="DecimalAligned">
    <w:name w:val="Decimal Aligned"/>
    <w:basedOn w:val="Normal"/>
    <w:uiPriority w:val="40"/>
    <w:qFormat/>
    <w:rsid w:val="000F4977"/>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0F4977"/>
    <w:rPr>
      <w:i/>
      <w:iCs/>
      <w:color w:val="7F7F7F" w:themeColor="text1" w:themeTint="80"/>
    </w:rPr>
  </w:style>
  <w:style w:type="table" w:styleId="MediumList2">
    <w:name w:val="Medium List 2"/>
    <w:basedOn w:val="TableNormal"/>
    <w:uiPriority w:val="66"/>
    <w:rsid w:val="000F49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9F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3EF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E4C0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E4C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mail.utep.edu/owa/redir.aspx?C=pPCWFT-pH0GQaj97lO7jQupuWssDM9EIRiNHEvdApr7M6EeMhBqPYIYqT-rUd66do6OMWbreEIE.&amp;URL=http%3a%2f%2fwww.prb.org%2fArticles%2f2010%2fusarizonalatinos.asp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morales@utep.edu" TargetMode="External"/><Relationship Id="rId9" Type="http://schemas.openxmlformats.org/officeDocument/2006/relationships/hyperlink" Target="https://www.census.gov/programs" TargetMode="External"/><Relationship Id="rId10" Type="http://schemas.openxmlformats.org/officeDocument/2006/relationships/hyperlink" Target="http://crimmigration.com/2015/07/07/pep-vs-secur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6995-B493-7D47-A8E8-1EB499DE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10298</Words>
  <Characters>58702</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68863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Morales</dc:creator>
  <cp:keywords/>
  <dc:description/>
  <cp:lastModifiedBy>Microsoft Office User</cp:lastModifiedBy>
  <cp:revision>2</cp:revision>
  <cp:lastPrinted>2016-06-29T14:12:00Z</cp:lastPrinted>
  <dcterms:created xsi:type="dcterms:W3CDTF">2017-08-03T23:01:00Z</dcterms:created>
  <dcterms:modified xsi:type="dcterms:W3CDTF">2017-08-03T23:01:00Z</dcterms:modified>
</cp:coreProperties>
</file>